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reologii </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w:t>
      </w:r>
    </w:p>
    <w:p>
      <w:pPr>
        <w:keepNext w:val="1"/>
        <w:spacing w:after="10"/>
      </w:pPr>
      <w:r>
        <w:rPr>
          <w:b/>
          <w:bCs/>
        </w:rPr>
        <w:t xml:space="preserve">Treści kształcenia: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w dziedzinie przetwórstwa polimerów, mas ceramicznych, przemyśle farb i lakierów, spożywczym, farmaceutycznym, kosmetycznym.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w:t>
      </w:r>
    </w:p>
    <w:p>
      <w:pPr>
        <w:keepNext w:val="1"/>
        <w:spacing w:after="10"/>
      </w:pPr>
      <w:r>
        <w:rPr>
          <w:b/>
          <w:bCs/>
        </w:rPr>
        <w:t xml:space="preserve">Metody oceny: </w:t>
      </w:r>
    </w:p>
    <w:p>
      <w:pPr>
        <w:spacing w:before="20" w:after="190"/>
      </w:pPr>
      <w:r>
        <w:rPr/>
        <w:t xml:space="preserve">Zaliczenie pisemne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Ferguson, Z. Kembłowski, Reologia stosowana płynów, MARCUS Sc, Łódź 1995.
2.	K. Wilczyński, Reologia w przetwórstwie tworzyw sztucznych, WNT Warszawa 2001.
3.	W. Wilkinson, Ciecze nienewtonowskie, WNT Warszawa 1963.
4.	A. Malkin, Rheology Fundamentals, ChemTec Publishing, Toronto 1994.
5.	A.V. Shenoy, Rheology of filled polymer systems, Kluwer Academic Publishers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2026-10-03T17:08:57+02:00</dcterms:created>
  <dcterms:modified xsi:type="dcterms:W3CDTF">2026-10-03T17:08:57+02:00</dcterms:modified>
</cp:coreProperties>
</file>

<file path=docProps/custom.xml><?xml version="1.0" encoding="utf-8"?>
<Properties xmlns="http://schemas.openxmlformats.org/officeDocument/2006/custom-properties" xmlns:vt="http://schemas.openxmlformats.org/officeDocument/2006/docPropsVTypes"/>
</file>