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Bioethics</w:t>
      </w:r>
    </w:p>
    <w:p>
      <w:pPr>
        <w:keepNext w:val="1"/>
        <w:spacing w:after="10"/>
      </w:pPr>
      <w:r>
        <w:rPr>
          <w:b/>
          <w:bCs/>
        </w:rPr>
        <w:t xml:space="preserve">Koordynator przedmiotu: </w:t>
      </w:r>
    </w:p>
    <w:p>
      <w:pPr>
        <w:spacing w:before="20" w:after="190"/>
      </w:pPr>
      <w:r>
        <w:rPr/>
        <w:t xml:space="preserve">dr Beata Witkowska-Maksimczuk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1. Przedmioty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A participant who has successfully completed this course should: 
1) Be able to understand the complex normative systems of bioethics, health law and international human rights as they impact on the development of health policy, locally, nationally and internationally. 
2) Be able to apply the complex normative systems of bioethics, health law and international human rights as they apply to a variety of contemporary issues in this area locally, nationally and internationally 
3) Be able to understand the impact on the complex normative systems of bioethics, health law and international human rights of international trade agreements and the lobbying principles of corporate globalisation 
4) Be able to write and speak effectively at an academic or high policy level in the areas of regulation of cost-effectiveness evaluation of medicines and access to health services 
5) Be able to effectively resolve disputes arising in this area in private or public legal practise.
</w:t>
      </w:r>
    </w:p>
    <w:p>
      <w:pPr>
        <w:keepNext w:val="1"/>
        <w:spacing w:after="10"/>
      </w:pPr>
      <w:r>
        <w:rPr>
          <w:b/>
          <w:bCs/>
        </w:rPr>
        <w:t xml:space="preserve">Treści kształcenia: </w:t>
      </w:r>
    </w:p>
    <w:p>
      <w:pPr>
        <w:spacing w:before="20" w:after="190"/>
      </w:pPr>
      <w:r>
        <w:rPr/>
        <w:t xml:space="preserve">brak</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2026-10-01T05:55:41+02:00</dcterms:created>
  <dcterms:modified xsi:type="dcterms:W3CDTF">2026-10-01T05:55:41+02:00</dcterms:modified>
</cp:coreProperties>
</file>

<file path=docProps/custom.xml><?xml version="1.0" encoding="utf-8"?>
<Properties xmlns="http://schemas.openxmlformats.org/officeDocument/2006/custom-properties" xmlns:vt="http://schemas.openxmlformats.org/officeDocument/2006/docPropsVTypes"/>
</file>