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Bioethics</w:t>
      </w:r>
    </w:p>
    <w:p>
      <w:pPr>
        <w:keepNext w:val="1"/>
        <w:spacing w:after="10"/>
      </w:pPr>
      <w:r>
        <w:rPr>
          <w:b/>
          <w:bCs/>
        </w:rPr>
        <w:t xml:space="preserve">Koordynator przedmiotu: </w:t>
      </w:r>
    </w:p>
    <w:p>
      <w:pPr>
        <w:spacing w:before="20" w:after="190"/>
      </w:pPr>
      <w:r>
        <w:rPr/>
        <w:t xml:space="preserve">dr Beata Witkowska-Maksimczuk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A participant who has successfully completed this course should: 
1) Be able to understand the complex normative systems of bioethics, health law and international human rights as they impact on the development of health policy, locally, nationally and internationally. 
2) Be able to apply the complex normative systems of bioethics, health law and international human rights as they apply to a variety of contemporary issues in this area locally, nationally and internationally 
3) Be able to understand the impact on the complex normative systems of bioethics, health law and international human rights of international trade agreements and the lobbying principles of corporate globalisation 
4) Be able to write and speak effectively at an academic or high policy level in the areas of regulation of cost-effectiveness evaluation of medicines and access to health services 
5) Be able to effectively resolve disputes arising in this area in private or public legal practise.
</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2026-09-10T04:45:01+02:00</dcterms:created>
  <dcterms:modified xsi:type="dcterms:W3CDTF">2026-09-10T04:45:01+02:00</dcterms:modified>
</cp:coreProperties>
</file>

<file path=docProps/custom.xml><?xml version="1.0" encoding="utf-8"?>
<Properties xmlns="http://schemas.openxmlformats.org/officeDocument/2006/custom-properties" xmlns:vt="http://schemas.openxmlformats.org/officeDocument/2006/docPropsVTypes"/>
</file>