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metod i sposobów ochrony przed powodzią, opracowywania instrukcji gospodarowania wodami dla obiektów hydrotechnicznych, uwarunkowania wdrażania Ramowej Dyrektywy Wodnej.</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w:t>
      </w:r>
    </w:p>
    <w:p>
      <w:pPr>
        <w:keepNext w:val="1"/>
        <w:spacing w:after="10"/>
      </w:pPr>
      <w:r>
        <w:rPr>
          <w:b/>
          <w:bCs/>
        </w:rPr>
        <w:t xml:space="preserve">Metody oceny: </w:t>
      </w:r>
    </w:p>
    <w:p>
      <w:pPr>
        <w:spacing w:before="20" w:after="190"/>
      </w:pPr>
      <w:r>
        <w:rPr/>
        <w:t xml:space="preserve">Z = 0.5*W + 0.5*P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2026-10-01T16:56:36+02:00</dcterms:created>
  <dcterms:modified xsi:type="dcterms:W3CDTF">2026-10-01T16:56:36+02:00</dcterms:modified>
</cp:coreProperties>
</file>

<file path=docProps/custom.xml><?xml version="1.0" encoding="utf-8"?>
<Properties xmlns="http://schemas.openxmlformats.org/officeDocument/2006/custom-properties" xmlns:vt="http://schemas.openxmlformats.org/officeDocument/2006/docPropsVTypes"/>
</file>