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45 h (30h wykład + 15 h ćwiczenia), zapoznanie się z literaturą 35 h, przygotowanie do zaliczenia wykładu 20 h, przygotowanie do zaliczenia ćwiczeń 20 h.
Razem 120 godz.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45 h (30h wykład + 15 h ćwiczenia).
Razem 45 godz.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35 h, przygotowanie do zaliczenia wykładu 20 h, przygotowanie do zaliczenia ćwiczeń 20 h.
Razem 75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kapitał, rynek, jednostka gospodarcza, przedsiębiorstwo, produkcja, handel, usługi, inwestycje, majątek, dług, kredyt, stopa dyskontowa, podatek, przychód, koszt, dochód.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rachunkowości jako międzynarodowego języka biznesu przez opanowanie nowoczesnego prawa bilansowego; nabycie wiedzy w zakresie wyceny składników bilansowych i systemów ewidencyjnych zmierzających do odzwierciedlenia sytuacji majątkowo-kapitałowej i finansowej przedsiębiorstw; praktyczne zaznajomienie studentów z księgowaniem operacji gospodarczych w systemach kont syntetycznych, analitycznych i z procedurami tworzenia bilansu, rachunku zysków i strat oraz rachunku przepływów pieniężnych; uświadomienie wartości poznawczych sprawozdawczości finansowej jednostek gospodarczych w zarządzaniu.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Zagadnienia wstępne rachunkowości.
2. Bilans księgowy.
3. Konta księgowe. 
4. Rachunek zysków i strat.
5. Współmierność kosztów i przychodów.
6. Rozrachunki.
7. Zasady wyceny i ewidencji rzeczowych aktywów obrotowych.
8. Amortyzacja i ewidencja środków trwałych oraz wartości niematerialnych i prawnych.
9. Aktywa finansowe i własne papiery wartościowe.
10. Rachunek przepływów pieniężnych.
11. Podatek dochodowy i rozliczenie wyniku finansowego.
ĆWICZENIA:
1. Bilans księgowy i operacje bilansowe.
2. Konto księgowe.
3. Rachunek zysków i strat. 
4. Ewidencja zapasów, instrumentów finansowych, aktywów trwałych.
5. Rachunek przepływów pieniężnych.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Komajda E., Wprowadzenie do rachunkowości, Oficyna Wydawnicza Politechniki Warszawskiej, Warszawa 2010. 
[2] Kalwasińska E., Maciejowska D., Rachunkowość finansowa w teorii i praktyce, Wydawnictwo Naukowe Wydziału Zarządzania Uniwersytetu Warszawskiego, Warszawa 2011.
[3] Ustawa z dnia 29 września 1994 r. o rachunkowości, tekst jednolity: DzU nr 152/2009, poz. 1223.
[4] Gmytrasiewicz M., Karmańska A., Rachunkowość finansowa, Difin, Warszawa 2009. 
Matuszewicz J., Matuszewicz P., Rachunkowość od podstaw, FINANS-SERVIS, Warszawa 2010.
[5] Olchowicz I., Podstawy rachunkowości, tom 1, Difin, Warszawa 2007
[6] Sawicki K., Podstawy rachunkowości, Polskie Wydawnictwo Ekonomiczne,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usystematyzowaną wiedzę w zakresie podstaw i zasad prawnych rachunkowości, majątku, kapitału przedsiębiorstwa, bilansu, przychodów, kosztów, wyniku finansowego, rachunku zysków i strat, operacji gospodarczych bilansowych i wynikowych, zasad funkcjonowania kont księgowych, planu kont, ewidencji kapitałów, środków pieniężnych, papierów wartościowych, rozrachunków, majątku trwałego, zapasów, wyceny składników majątkowych, metody ustalania wyniku finansowego, sprawozdawczości finansowej.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S1A_W03, S1A_W04, S1A_W05, S1A_W06, S1A_W07, S1A_W08, S1A_W09, S1A_W10,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K_U23: </w:t>
      </w:r>
    </w:p>
    <w:p>
      <w:pPr/>
      <w:r>
        <w:rPr/>
        <w:t xml:space="preserve">Potrafi wykorzystać nabytą wiedzę z zakresu rachunkowości finansowej w podejmowaniu decyzji zarządczych,  potrafi posługiwać się parametrami rachunkowości finansowej przy analizie i planowaniu finansowym oraz w pozyskiwaniu funduszy przez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S1A_U09, S1A_U10, S1A_U11</w:t>
      </w:r>
    </w:p>
    <w:p>
      <w:pPr>
        <w:keepNext w:val="1"/>
        <w:spacing w:after="10"/>
      </w:pPr>
      <w:r>
        <w:rPr>
          <w:b/>
          <w:bCs/>
        </w:rPr>
        <w:t xml:space="preserve">Efekt K_U18: </w:t>
      </w:r>
    </w:p>
    <w:p>
      <w:pPr/>
      <w:r>
        <w:rPr/>
        <w:t xml:space="preserve">Potrafi posługiwać się zasadami i instrumentami zarządzania, podstawami teoretycznymi, formami oraz ogólnymi zasadami funkcjonowania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S1A_U09, S1A_U10, S1A_U11</w:t>
      </w:r>
    </w:p>
    <w:p>
      <w:pPr>
        <w:keepNext w:val="1"/>
        <w:spacing w:after="10"/>
      </w:pPr>
      <w:r>
        <w:rPr>
          <w:b/>
          <w:bCs/>
        </w:rPr>
        <w:t xml:space="preserve">Efekt K_U19: </w:t>
      </w:r>
    </w:p>
    <w:p>
      <w:pPr/>
      <w:r>
        <w:rPr/>
        <w:t xml:space="preserve">Potrafi wykorzystać podstawowe kategorie ekonomiczne oraz przepisów prawa do zarządzania organizacją.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Rozumie, że w zarządzaniu wiedza i umiejętności szybko stają się przestarzałe.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K_K05: </w:t>
      </w:r>
    </w:p>
    <w:p>
      <w:pPr/>
      <w:r>
        <w:rPr/>
        <w:t xml:space="preserve">Rozumie potrzebę zachowań personalnych i przestrzega zasad etyki, w tym uczciwości.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Potrafi przekazać informację o osiągnięciach zarządzania i różnych aspektach zawodu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2026-08-19T01:11:04+02:00</dcterms:created>
  <dcterms:modified xsi:type="dcterms:W3CDTF">2026-08-19T01:11:04+02:00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