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 h (30h wykład + 15 h ćwiczenia), zapoznanie się z literaturą 35 h, przygotowanie do zaliczenia wykładu 20 h, przygotowanie do zaliczenia ćwiczeń 20 h.
Razem 120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 h (30h wykład + 15 h ćwiczenia).
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h, przygotowanie do zaliczenia wykładu 20 h, przygotowanie do zaliczenia ćwiczeń 20 h.
Razem 75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jednostka gospodarcza, przedsiębiorstwo, produkcja, handel, usługi, inwestycje, majątek, dług, kredyt, stopa dyskontowa, podatek, przychód, koszt, dochód.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rachunkowości jako międzynarodowego języka biznesu przez opanowanie nowoczesnego prawa bilansowego; nabycie wiedzy w zakresie wyceny składników bilansowych i systemów ewidencyjnych zmierzających do odzwierciedlenia sytuacji majątkowo-kapitałowej i finansowej przedsiębiorstw; praktyczne zaznajomienie studentów z księgowaniem operacji gospodarczych w systemach kont syntetycznych, analitycznych i z procedurami tworzenia bilansu, rachunku zysków i strat oraz rachunku przepływów pieniężnych; uświadomienie wartości poznawczych sprawozdawczości finansowej jednostek gospodarczych w zarządzaniu.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Zagadnienia wstępne rachunkowości.
2. Bilans księgowy.
3. Konta księgowe. 
4. Rachunek zysków i strat.
5. Współmierność kosztów i przychodów.
6. Rozrachunki.
7. Zasady wyceny i ewidencji rzeczowych aktywów obrotowych.
8. Amortyzacja i ewidencja środków trwałych oraz wartości niematerialnych i prawnych.
9. Aktywa finansowe i własne papiery wartościowe.
10. Rachunek przepływów pieniężnych.
11. Podatek dochodowy i rozliczenie wyniku finansowego.
ĆWICZENIA:
1. Bilans księgowy i operacje bilansowe.
2. Konto księgowe.
3. Rachunek zysków i strat. 
4. Ewidencja zapasów, instrumentów finansowych, aktywów trwałych.
5. Rachunek przepływów pieniężnych.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Wprowadzenie do rachunkowości, Oficyna Wydawnicza Politechniki Warszawskiej, Warszawa 2010. 
[2] Kalwasińska E., Maciejowska D., Rachunkowość finansowa w teorii i praktyce, Wydawnictwo Naukowe Wydziału Zarządzania Uniwersytetu Warszawskiego, Warszawa 2011.
[3] Ustawa z dnia 29 września 1994 r. o rachunkowości, tekst jednolity: DzU nr 152/2009, poz. 1223.
[4] Gmytrasiewicz M., Karmańska A., Rachunkowość finansowa, Difin, Warszawa 2009. 
Matuszewicz J., Matuszewicz P., Rachunkowość od podstaw, FINANS-SERVIS, Warszawa 2010.
[5] Olchowicz I., Podstawy rachunkowości, tom 1, Difin, Warszawa 2007
[6] Sawicki K., Podstawy rachunkowości, Polskie Wydawnictwo Ekonomiczne,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usystematyzowaną wiedzę w zakresie podstaw i zasad prawnych rachunkowości, majątku, kapitału przedsiębiorstwa, bilansu, przychodów, kosztów, wyniku finansowego, rachunku zysków i strat, operacji gospodarczych bilansowych i wynikowych, zasad funkcjonowania kont księgowych, planu kont, ewidencji kapitałów, środków pieniężnych, papierów wartościowych, rozrachunków, majątku trwałego, zapasów, wyceny składników majątkowych, metody ustalania wyniku finansowego, sprawozdawczości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K_U23: </w:t>
      </w:r>
    </w:p>
    <w:p>
      <w:pPr/>
      <w:r>
        <w:rPr/>
        <w:t xml:space="preserve">Potrafi wykorzystać nabytą wiedzę z zakresu rachunkowości finansowej w podejmowaniu decyzji zarządczych,  potrafi posługiwać się parametrami rachunkowości finansowej przy analizie i planowaniu finansowym oraz w pozyskiwaniu funduszy przez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K_U18: </w:t>
      </w:r>
    </w:p>
    <w:p>
      <w:pPr/>
      <w:r>
        <w:rPr/>
        <w:t xml:space="preserve">Potrafi posługiwać się zasadami i instrumentami zarządzania, podstawami teoretycznymi, formami oraz ogólnymi zasadami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K_U19: </w:t>
      </w:r>
    </w:p>
    <w:p>
      <w:pPr/>
      <w:r>
        <w:rPr/>
        <w:t xml:space="preserve">Potrafi wykorzystać podstawowe kategorie ekonomiczne oraz przepisów prawa do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przekazać informację o osiągnięciach zarządzania i różnych aspektach zawodu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2026-10-01T14:15:58+02:00</dcterms:created>
  <dcterms:modified xsi:type="dcterms:W3CDTF">2026-10-01T14:15:58+02:00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