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usystematyzowana wiedzę z zakresu znaczenia wybranych modeli formalnych np. teoriomnogościowych, grafowych, predykatowych, wykorzystywanych we współczesnych systemach informatycznych, np. bazach danych, systemach ekspertowych.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K_W12: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K_U01: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K_U24: </w:t>
      </w:r>
    </w:p>
    <w:p>
      <w:pPr/>
      <w:r>
        <w:rPr/>
        <w:t xml:space="preserve">Potrafi wykorzystywać nabytą wiedzę z matematyki do opisu procesów decyzyjnych i budowy modeli zarządczych.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Rozumie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2026-08-19T11:35:45+02:00</dcterms:created>
  <dcterms:modified xsi:type="dcterms:W3CDTF">2026-08-19T11:35:45+02:00</dcterms:modified>
</cp:coreProperties>
</file>

<file path=docProps/custom.xml><?xml version="1.0" encoding="utf-8"?>
<Properties xmlns="http://schemas.openxmlformats.org/officeDocument/2006/custom-properties" xmlns:vt="http://schemas.openxmlformats.org/officeDocument/2006/docPropsVTypes"/>
</file>