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 i kontroling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h
[nakład pracy związany z zajęciami wymagającymi bezpośredniego udziału nauczycieli akademickich: 45 h; przygotowanie do egzaminu: 30 h, 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h, co odpowiada 1,5 ECTS
[wykład: 30 h; ćwiczenia: 15 h]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h, co odpowiada 2 ECTS 
[udział w ćwiczeniach: 15 h; 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finansowa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koncepcjami i metodami rozwiązywania problemów decyzyjnych w organizacji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rachunku i kontroli kosztów
2.	Analiza przedsięwzięć gospodarczych na podstawie wielkości krytycznych. Ceny 
3.	Planowanie zysków i decyzje krótkoterminowe
4.	Rozrachunek wewnętrzny
5.	Analiza cen, sprzedaży i rentowności
6.	Budżet przedsiębiorstwa. Planowanie finansowo-kosztowe
7.	Rachunkowość w sterowaniu inwestycjami 
8.	Strategiczna rachunkowość zarządcza
ĆWICZENIA:
1.	Pomiar kosztów i korzyści 
2.	Analiza relacji: koszty – rozmiary - wyniki
3.	Krótkookresowy rachunek decyzyjny
4.	Długookresowy rachunek decyzyjny
5.	Ośrodki odpowiedzialności i ich ocena 
6.	Budżetowanie i ocena wykonania budżetów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tab.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Rachunkowość zarządcza. Podejście operacyjne i strategiczne / red. nauk.  Irena Sobańska, Warszawa:   C. H. Beck, 2010
2.	Rachunkowość zarządcza i rachunek kosztów w systemie informacyjnym przedsiębiorstwa / red. nauk. Anna Karmańska. Warszawa: Difin, 2006
3.	Rachunkowość zarządcza: klucz do sukcesu / Piotr Szczypa.  Warszawa : CeDeWu, 2007
4.	Rachunkowość zarządcza i rachunek kosztów / red. nauk. Gertruda Świderska. Warszawa : Difin,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z zakresu podstaw rachunku i kontroli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specyficzne kryteria decyzyjne i formuły cenowe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o metodach rozwiązywania typowych problemów decyzyjnych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wiedzę z zakresu budżetowania kosztów, przychodów 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Student ma wiedzę o nowoczesnych systemach pomiaru i oceny dokonań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kalkulować górne i dolne granice cenowe oraz ceny sprzedaży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sporządzać rachunki alternatywnych działań oraz analizować ich wpływ na wynik podmiotu w okresie bieżącym i przyszłym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sporządzać budżety cząstkowe i oceniać ich wykonanie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 : </w:t>
      </w:r>
    </w:p>
    <w:p>
      <w:pPr/>
      <w:r>
        <w:rPr/>
        <w:t xml:space="preserve">Student potrafi oceniać dokonania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Student ma świadomość braków w wiedzy własnej i/lub zdolności do jej zastosowania oraz ma potrzebę ich uzupełniania i aktualizowania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Student rozumie konieczność współpracy z innymi w rozwiązywaniu problemów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2026-09-09T03:11:35+02:00</dcterms:created>
  <dcterms:modified xsi:type="dcterms:W3CDTF">2026-09-09T03:11:35+02:00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