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 2</w:t>
      </w:r>
    </w:p>
    <w:p>
      <w:pPr>
        <w:keepNext w:val="1"/>
        <w:spacing w:after="10"/>
      </w:pPr>
      <w:r>
        <w:rPr>
          <w:b/>
          <w:bCs/>
        </w:rPr>
        <w:t xml:space="preserve">Koordynator przedmiotu: </w:t>
      </w:r>
    </w:p>
    <w:p>
      <w:pPr>
        <w:spacing w:before="20" w:after="190"/>
      </w:pPr>
      <w:r>
        <w:rPr/>
        <w:t xml:space="preserve">Prof. nzw dr hab.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grafowe,  MSI 1, rachunek prawdopodobieństwa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Treść wykładu stanowią zaawansowane zagadnienia dotyczące metod uczenia maszynowego, metod ewolucyjnych oraz metod inteligencji obliczeniowej w kontekście rozwiązywania złożonych problemów decyzyjnych, problemów optymalizacyjnych oraz analizy i drążenia danych. Szczególny nacisk położony jest na omówienie najnowszych trendów w w.w. obszarach. W trakcie ćwiczeń studenci samodzielnie przygotowują oraz przedstawiają referaty dotyczące  zagadnień badawczych opublikowanych w bieżącej literaturze przedmiotu (czołowych czasopismach oraz materiałach konferencyjnych). W ramach cało-semestralnych projektów studenci w grupach 2-4 osobowych projektują oraz implementują programy rozwiązujące praktyczne, problemy z zakresu bioinformatyki, finansów czy gier umysłowych.</w:t>
      </w:r>
    </w:p>
    <w:p>
      <w:pPr>
        <w:keepNext w:val="1"/>
        <w:spacing w:after="10"/>
      </w:pPr>
      <w:r>
        <w:rPr>
          <w:b/>
          <w:bCs/>
        </w:rPr>
        <w:t xml:space="preserve">Metody oceny: </w:t>
      </w:r>
    </w:p>
    <w:p>
      <w:pPr>
        <w:spacing w:before="20" w:after="190"/>
      </w:pPr>
      <w:r>
        <w:rPr/>
        <w:t xml:space="preserve">Średnia ważona ocena z przedstawionego referatu oraz wykonanego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 Duch and J. Mańdziuk (eds.) , Challenges to Computational Intelligence, Springer-Verlag, 2007
Wang, J.T.L.; Zaki, M.J.; Toivonen, H.T.T.; Shasha, D.E. (eds.) Data Mining in Bioinformatics, Springer-Verlag
A. Brabazon and M. O’Neill Biologically Inspired Algorithms for Financial Modelling, Springer 
Czasopisma IEEE TNN, IEEE TEC, IEEE TCIAIG, Machine Learning, Artificial Intelligence,
Materialy konferencyjne: NIPS, ICANN., IJCNN, ICONIP, ECAI, ICML, ICAISC, ICANNGA, i inne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2026-10-01T14:03:59+02:00</dcterms:created>
  <dcterms:modified xsi:type="dcterms:W3CDTF">2026-10-01T14:03:59+02:00</dcterms:modified>
</cp:coreProperties>
</file>

<file path=docProps/custom.xml><?xml version="1.0" encoding="utf-8"?>
<Properties xmlns="http://schemas.openxmlformats.org/officeDocument/2006/custom-properties" xmlns:vt="http://schemas.openxmlformats.org/officeDocument/2006/docPropsVTypes"/>
</file>