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prawne działalności przedsiębiorstwa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NK371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dysponuje wiedzą umożliwiającą mu zrealizowanie wszystkich wymaganych przez prawo czynności niezbędnych do podjęcia działalności gospodarczej. Jest w stanie wybrać formę działalności gospodarczej najbardziej korzystną dla prowadzonej przez niego działalności. Student zna zasady funkcjonowania ewidencji działalności gospodarczej oraz Krajowego Rejestru Sądowego. Student zna podstawowe zasady sporządzania umów cywilnoprawnych oraz formy w jakich powinny być one zawierane.  </w:t>
      </w:r>
    </w:p>
    <w:p>
      <w:pPr>
        <w:keepNext w:val="1"/>
        <w:spacing w:after="10"/>
      </w:pPr>
      <w:r>
        <w:rPr>
          <w:b/>
          <w:bCs/>
        </w:rPr>
        <w:t xml:space="preserve">Treści kształcenia: </w:t>
      </w:r>
    </w:p>
    <w:p>
      <w:pPr>
        <w:spacing w:before="20" w:after="190"/>
      </w:pPr>
      <w:r>
        <w:rPr/>
        <w:t xml:space="preserve">W1. Podstawowe pojęcia prawoznawstwa i prawa cywilnego. 
W2. Przedsiębiorcy a prowadzenie działalności gospodarczej.
W3. Zakładanie i prowadzenie jednoosobowej działalności gospodarczej.
W4. Krajowy Rejestr Sądowy
W5. Spółki osobowe prawa handlowego. 
W6. Spółki kapitałowe prawa handlowego.
W7. Fundacje i stowarzyszenia jako przedsiębiorcy.
W8. Umowy w działalności gospodarczej. 
W9. Własność i inne prawa rzeczowe. Księgi wieczyste
W10. Prawne podstawy prowadzenia e-biznesu.
W11. Ochrona konkurencji i konsumentów. 
W12. Rozstrzyganie sporów gospodarczych.
W13. Prawne formy zatrudnienia – umowy o pracę i umowy cywilnoprawne.
W14. Podatki w działalności gospodarczej.
W15. Wprowadzenie do prawa autorskiego.
</w:t>
      </w:r>
    </w:p>
    <w:p>
      <w:pPr>
        <w:keepNext w:val="1"/>
        <w:spacing w:after="10"/>
      </w:pPr>
      <w:r>
        <w:rPr>
          <w:b/>
          <w:bCs/>
        </w:rPr>
        <w:t xml:space="preserve">Metody oceny: </w:t>
      </w:r>
    </w:p>
    <w:p>
      <w:pPr>
        <w:spacing w:before="20" w:after="190"/>
      </w:pPr>
      <w:r>
        <w:rPr/>
        <w:t xml:space="preserve">zaliczenie w formie testu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Prawo gospodarcze, pod red. H. Kisilowskiej, Oficyna Wydawnicza Politechniki Warszawskiej 2005; 
2. Materiały dostarczone przez prowadzącego.
Dodatkowe literatura:
3. Prawo handlowe. Kazusy, pod red. J. Ciszewskiego i J. Kruczalak-Jankowskiej, LexisNexis, Warszawa 2008;
4. Prawo publiczne gospodarcze. Kazusy, pod red. K. Strzyczkowskiego, LexisNexis, Warszawa 2008;
5. Prawo gospodarcze. Kompendium, pod red. J. Olszewskiego, C.H. Beck,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E2_W20, E2_W21, E2_W22</w:t>
      </w:r>
    </w:p>
    <w:p>
      <w:pPr>
        <w:spacing w:before="20" w:after="190"/>
      </w:pPr>
      <w:r>
        <w:rPr>
          <w:b/>
          <w:bCs/>
        </w:rPr>
        <w:t xml:space="preserve">Powiązane efekty obszarowe: </w:t>
      </w:r>
      <w:r>
        <w:rPr/>
        <w:t xml:space="preserve">T2A_W09, T2A_W10, T2A_W11</w:t>
      </w:r>
    </w:p>
    <w:p>
      <w:pPr>
        <w:pStyle w:val="Heading3"/>
      </w:pPr>
      <w:bookmarkStart w:id="3" w:name="_Toc3"/>
      <w:r>
        <w:t>Profil ogólnoakademicki - kompetencje społeczne</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E2_K02, E2_K06</w:t>
      </w:r>
    </w:p>
    <w:p>
      <w:pPr>
        <w:spacing w:before="20" w:after="190"/>
      </w:pPr>
      <w:r>
        <w:rPr>
          <w:b/>
          <w:bCs/>
        </w:rPr>
        <w:t xml:space="preserve">Powiązane efekty obszarowe: </w:t>
      </w:r>
      <w:r>
        <w:rPr/>
        <w:t xml:space="preserve">T2A_K02,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2026-10-03T06:36:38+02:00</dcterms:created>
  <dcterms:modified xsi:type="dcterms:W3CDTF">2026-10-03T06:36:38+02:00</dcterms:modified>
</cp:coreProperties>
</file>

<file path=docProps/custom.xml><?xml version="1.0" encoding="utf-8"?>
<Properties xmlns="http://schemas.openxmlformats.org/officeDocument/2006/custom-properties" xmlns:vt="http://schemas.openxmlformats.org/officeDocument/2006/docPropsVTypes"/>
</file>