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Wymiana ciepła w układach biologicznych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Tomasz Wiśniewski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NS591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przygotowanie indywidualnego opracowania i prezentacji: 18 godzin
przygotowanie do kolokwium: 12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NW116 - Termodynamika 1 (TERMA1)
NK423 - Wymiana ciepła 1 (WYCIEP1)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potrafi sporządzić bilans cieplny człowieka. Potrafi dokonać pomiarów i obliczeń służących do oceny komfortu cieplnego. Poznaje zagrożenia związane z działaniem niskich i wysokich temperatur na organizm ludzki oraz sposoby ochrony przed nimi. Poznaje metody terapii związane z wykorzystaniem niskich temperatur i oddziaływania laserowego. Poznaje podstawy i możliwości zastosowania termografii w podczerwieni w budownictwie.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Wymiana ciepła wewnątrz organizmu człowieka i z jego otoczeniem. Bilans cieplny człowieka. Fizjologia gospodarki cieplnej ustroju. Układ termoregulacji. Komfort cieplny. Pomiary komfortu cieplnego. Działanie silnych źródeł promieniowania i wysokich temperatur na organizm ludzki. Działanie niskich temperatur na organizm ludzki.  Zamrażanie tkanek. Krioterapia. Oddziaływania promieniowania laserowego na tkanki. Zamrażanie żywności. Zastosowanie termografii w podczerwieni.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opracowania indywidualnego zagadnienia i jego prezentacji oraz jednego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Wiśniewski S., Wiśniewski T.S.: Wymiana ciepła. WNT, 2000 r.
2. Fanger P.O. Komfort cieplny. Arkady, 1974 r. 
3. Gruda Z., Postolski J.: Zamrażanie żywności. WNT, 1999 r.
Dodatkowe literatura:
     - Materiały dostarczone przez wykładowcę,
     -  Polskie normy dotyczące komfortu cieplnego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EW1 – Posiada wiedzę w zakresie wymiany ciepła w organizmie człowieka, mechanizmów wymiany ciepła z jego otoczeniem, bilansu cieplnego człowieka, fizjologia gospodarki cieplnej ustroju i układu termoregulacji.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EW2 – Posiada wiedzę w zakresie komfortu cieplnego oraz metod jego pomiaru i oceny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EW3 – Posiada wiedzę w zakresie oddziaływania wysokich i niskich temperatur na organizmy żywe oraz ochrony przed nimi.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keepNext w:val="1"/>
        <w:spacing w:after="10"/>
      </w:pPr>
      <w:r>
        <w:rPr>
          <w:b/>
          <w:bCs/>
        </w:rPr>
        <w:t xml:space="preserve">Efekt EW4: </w:t>
      </w:r>
    </w:p>
    <w:p>
      <w:pPr/>
      <w:r>
        <w:rPr/>
        <w:t xml:space="preserve">EW4 – Posiada wiedzę w zakresie podstaw krioterapii, kriochirurgii oraz oddziaływań laserowych na tkanki organizmów żywych.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keepNext w:val="1"/>
        <w:spacing w:after="10"/>
      </w:pPr>
      <w:r>
        <w:rPr>
          <w:b/>
          <w:bCs/>
        </w:rPr>
        <w:t xml:space="preserve">Efekt EW5: </w:t>
      </w:r>
    </w:p>
    <w:p>
      <w:pPr/>
      <w:r>
        <w:rPr/>
        <w:t xml:space="preserve">EW5 – Posiada wiedzę w zakresie wymiany ciepła podczas zamrażania żywności.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keepNext w:val="1"/>
        <w:spacing w:after="10"/>
      </w:pPr>
      <w:r>
        <w:rPr>
          <w:b/>
          <w:bCs/>
        </w:rPr>
        <w:t xml:space="preserve">Efekt EW6: </w:t>
      </w:r>
    </w:p>
    <w:p>
      <w:pPr/>
      <w:r>
        <w:rPr/>
        <w:t xml:space="preserve">EW6 – Posiada wiedzę w zakresie podstaw termografii w podczerwieni i jej zastosowań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EU1 -  Potrafi sporządzić bilans cieplny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T2A_U15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EU2 -  Potrafi dokonać pomiarów i obliczeń służących do oceny komfortu cieplnego.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EU3 – Potrafi zinterpretować wyniki badań termowizyjnych przegród budowlanych.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EU4 – Potrafi pozyskiwać informacje z literatury, baz danych i innych właściwie dobranych źródeł oraz przygotować i przedstawić prezentację ustną, dotyczącą szczegółowych zagadnień z zakresu studiowanego przedmiotu.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2025-05-09T22:31:27+02:00</dcterms:created>
  <dcterms:modified xsi:type="dcterms:W3CDTF">2025-05-09T22:31:27+02:00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