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Obróbka cieplno-chemiczna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Jerzy Szawłowski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nowymi technologiami obróbek cieplno-chemicznych w atmosferach gazowych, nowoczesne technologie azotowania, nawęglania, borowania. Wskazanie możliwość i wykorzystania tych metod kształtowania właściwości użytkowych części maszyn i narzędzi.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Podstawowe treści: warstwy nawęglane i azotowane, mikrostruktura i ich właściwości, stale do nawęglania i azotowania- wymagania odnośnie do ich składu chemicznego i podatności do obróbki cieplnej, technologia azotowania kontrolowanego- zastosowanie, kierunki rozwoju. Borowanie gazowe stali. Aspekt ekonomiczny nowych technologii gazowych technologii obróbek cieplno-chemicznych.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domowa, kolokwium zaliczeniowe.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2025-07-11T21:16:37+02:00</dcterms:created>
  <dcterms:modified xsi:type="dcterms:W3CDTF">2025-07-11T21:16:37+02:00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