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Scalenia i wymiany gruntów    /E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Katarzyna Sobolewska-Mikulska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wykazać się znajomością zagadnień z katastru nieruchomości i podstaw gospodarki nieruchomościami na obszarach wiejskich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zakończeniu realizacji treści programowych student posiada wiedzę i umiejętności w zakresie opracowania analiz i studiów niezbędnych do realizacji prac projektowych dla obszarów wiejskich. Potrafi zaprojektować lokalizację podstawowych struktur ekologicznych i krajobrazowych dla obszarów wiejskich potrafi określić zakres programu transformacji użytków gruntowych oraz określić zakres prac poscaleniowych.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Charakterystyka struktury własnościowej i przestrzennej gospodarstw rolnych w Polsce. Scalenia gruntów jako metoda poprawy układu przestrzennego wsi. Wielofunkcyjny rozwój obszarów wiejskich – jako element projektu rozwoju obszarów wiejskich. Scalenia gruntów w krajach UE na wybranych przykładach ze szczególnym uwzględnieniem zagadnień ekologii i kształtowania krajobrazu. Ćwiczenia: Wykonanie analiz studialnych dla potrzeb opracowania założeń do projektu scalenia gruntów dla rzeczywistego obiektu. Uzupełnienie treści mapy ewidencyjnej obiektu o elementy ekologiczne i formy topograficzne o cechach krajobrazotwórczych. Opracowanie charakterystyk indywidualnych gospodarstw rolnych. Opracowanie założeń do projektu scalenia gruntów z uwzględnieniem elementów ekologii i kształtowania krajobrazu. Projekt sieci transportu rolnego. Projektowanie pasów izolacyjnych (buforowych) cieków wodnych i wzdłuż rowów melioracyjnych. Projekty zadrzewień i zakrzewień wzdłuż dróg międzywioskowych i dróg technologicznych. Projekt sieci użytków ekologicznych. Program transformacji użytków. Ustalenie prac poscaleniowych.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1K. Sobolewska – Mikulska, A. Pułecka „Scalenia i wymiany gruntów w rozwoju obszarów wiejskich” skrypt PW 2007 r.
2. Ustawa „o scaleniu i wymiany gruntów” z 1982r. 
3. Instrukcja Ministerstwa Rolnictwa i Gospodarki Żywnościowej  „O scaleniu gruntów” z 1983 r.
4. wydawnictwa GUS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2025-05-18T05:24:01+02:00</dcterms:created>
  <dcterms:modified xsi:type="dcterms:W3CDTF">2025-05-18T05:24:01+02:00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