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przygotowaniu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	Izotopy dla medycyny nuklearnej (4h);
•	Anatomia i fizjologia organów (4h);
•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	Automatyzacja diagnostyki izotopowej w badaniach:
o	układu nerwowego (ocena przepływu przez naczynia szyjne, naczynia krwionośne i perfuzja półkul mózgowych),
o	czynności komór serca: (metodą pierwszego przejścia, metodą bramkowania sygnałem EKG),
o	przepływu krwi w mięśniu sercowym (badania z zastosowaniem izotopu talu Tl-201, badania za pomocą związków izonitrylowych - MIBI),
o	czynności nerek (ocena klirensu i filtracji kłębkowej (GFR), wychwyt DMSA),
o	czynności wątroby (przepływ krwi w układzie wrotnym),
o	układu pokarmowego (ocena refluksu przełykowo-żołądkowego),
o	tarczycy (perfuzja płatów tarczycy i guzków, wychwyt jodowy),
1.	Statystyka pomiarów scyntygraficznych
2.	Budowa i zasada działania gammakamery
3.	Akwizycja obrazów gammakamerowych
4.	Analiza wybranych badań czynnościowych
5.	Algorytmy rekonstrukcji obrazów dla tomografii SPECT
6.	Analiza tomograficznych obrazów multimodalnych
</w:t>
      </w:r>
    </w:p>
    <w:p>
      <w:pPr>
        <w:keepNext w:val="1"/>
        <w:spacing w:after="10"/>
      </w:pPr>
      <w:r>
        <w:rPr>
          <w:b/>
          <w:bCs/>
        </w:rPr>
        <w:t xml:space="preserve">Metody oceny: </w:t>
      </w:r>
    </w:p>
    <w:p>
      <w:pPr>
        <w:spacing w:before="20" w:after="190"/>
      </w:pPr>
      <w:r>
        <w:rPr/>
        <w:t xml:space="preserve">W przygotowaniu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2026-08-20T11:54:33+02:00</dcterms:created>
  <dcterms:modified xsi:type="dcterms:W3CDTF">2026-08-20T11:54:33+02:00</dcterms:modified>
</cp:coreProperties>
</file>

<file path=docProps/custom.xml><?xml version="1.0" encoding="utf-8"?>
<Properties xmlns="http://schemas.openxmlformats.org/officeDocument/2006/custom-properties" xmlns:vt="http://schemas.openxmlformats.org/officeDocument/2006/docPropsVTypes"/>
</file>