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przygotowaniu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	Izotopy dla medycyny nuklearnej (4h);
•	Anatomia i fizjologia organów (4h);
•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	Automatyzacja diagnostyki izotopowej w badaniach:
o	układu nerwowego (ocena przepływu przez naczynia szyjne, naczynia krwionośne i perfuzja półkul mózgowych),
o	czynności komór serca: (metodą pierwszego przejścia, metodą bramkowania sygnałem EKG),
o	przepływu krwi w mięśniu sercowym (badania z zastosowaniem izotopu talu Tl-201, badania za pomocą związków izonitrylowych - MIBI),
o	czynności nerek (ocena klirensu i filtracji kłębkowej (GFR), wychwyt DMSA),
o	czynności wątroby (przepływ krwi w układzie wrotnym),
o	układu pokarmowego (ocena refluksu przełykowo-żołądkowego),
o	tarczycy (perfuzja płatów tarczycy i guzków, wychwyt jodowy),
1.	Statystyka pomiarów scyntygraficznych
2.	Budowa i zasada działania gammakamery
3.	Akwizycja obrazów gammakamerowych
4.	Analiza wybranych badań czynnościowych
5.	Algorytmy rekonstrukcji obrazów dla tomografii SPECT
6.	Analiza tomograficznych obrazów multimodalnych
</w:t>
      </w:r>
    </w:p>
    <w:p>
      <w:pPr>
        <w:keepNext w:val="1"/>
        <w:spacing w:after="10"/>
      </w:pPr>
      <w:r>
        <w:rPr>
          <w:b/>
          <w:bCs/>
        </w:rPr>
        <w:t xml:space="preserve">Metody oceny: </w:t>
      </w:r>
    </w:p>
    <w:p>
      <w:pPr>
        <w:spacing w:before="20" w:after="190"/>
      </w:pPr>
      <w:r>
        <w:rPr/>
        <w:t xml:space="preserve">W przygotowaniu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2026-10-01T16:53:45+02:00</dcterms:created>
  <dcterms:modified xsi:type="dcterms:W3CDTF">2026-10-01T16:53:45+02:00</dcterms:modified>
</cp:coreProperties>
</file>

<file path=docProps/custom.xml><?xml version="1.0" encoding="utf-8"?>
<Properties xmlns="http://schemas.openxmlformats.org/officeDocument/2006/custom-properties" xmlns:vt="http://schemas.openxmlformats.org/officeDocument/2006/docPropsVTypes"/>
</file>