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Nanomaterials Chemistry </w:t>
      </w:r>
    </w:p>
    <w:p>
      <w:pPr>
        <w:keepNext w:val="1"/>
        <w:spacing w:after="10"/>
      </w:pPr>
      <w:r>
        <w:rPr>
          <w:b/>
          <w:bCs/>
        </w:rPr>
        <w:t xml:space="preserve">Koordynator przedmiotu: </w:t>
      </w:r>
    </w:p>
    <w:p>
      <w:pPr>
        <w:spacing w:before="20" w:after="190"/>
      </w:pPr>
      <w:r>
        <w:rPr/>
        <w:t xml:space="preserve">prof. dr hab. inż. Adam Proń  prof. dr hab. inż. Małgorzata Zagórska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Inorganic, Organic and Physical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w:t>
      </w:r>
    </w:p>
    <w:p>
      <w:pPr>
        <w:keepNext w:val="1"/>
        <w:spacing w:after="10"/>
      </w:pPr>
      <w:r>
        <w:rPr>
          <w:b/>
          <w:bCs/>
        </w:rPr>
        <w:t xml:space="preserve">Treści kształcenia: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 Spectroscopic, diffraction and microscopic methods of nanomaterials characterization will also be reviewed. The course covers the following contents:
-	i) Preparation methods in chemistry of nanomaterials;
-	ii) Methods of controlling nanoparticles size, shape and polydispersity and their surface functionalization;
-	iii) Carbon nanomaterials: fullerene-, nanotube- and graphene-based nanomaterials;
-	iv) Inorganic nanomaterials: silicon, binary and ternary semiconductors);
-	v) Nanomaterials containing metal nanoparticles; vi) organic semiconducting nanomaterials;
-	vii) Supramolecular organization in nanomaterials - investigation methods;
-	viii) preparation of organic/inogranic hybrid materials for electronics, opto-electronics and catalysis.
</w:t>
      </w:r>
    </w:p>
    <w:p>
      <w:pPr>
        <w:keepNext w:val="1"/>
        <w:spacing w:after="10"/>
      </w:pPr>
      <w:r>
        <w:rPr>
          <w:b/>
          <w:bCs/>
        </w:rPr>
        <w:t xml:space="preserve">Metody oceny: </w:t>
      </w:r>
    </w:p>
    <w:p>
      <w:pPr>
        <w:spacing w:before="20" w:after="190"/>
      </w:pPr>
      <w:r>
        <w:rPr/>
        <w:t xml:space="preserve">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2025-11-02T11:13:17+01:00</dcterms:created>
  <dcterms:modified xsi:type="dcterms:W3CDTF">2025-11-02T11:13:17+01:00</dcterms:modified>
</cp:coreProperties>
</file>

<file path=docProps/custom.xml><?xml version="1.0" encoding="utf-8"?>
<Properties xmlns="http://schemas.openxmlformats.org/officeDocument/2006/custom-properties" xmlns:vt="http://schemas.openxmlformats.org/officeDocument/2006/docPropsVTypes"/>
</file>