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laboratoriach – 30h,
2.	zapoznanie się ze wskazaną literaturą – 20h 
3.	przygotowanie do zadań laboratoryjnych i opracowanie sprawozdań – 30h
4.	przygotowanie do kolokwium i obecność na kolokwium – 25h
Razem nakład pracy studenta: 45h + 20h + 30h + 25h =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zajęciach laboratoryjnych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wykonanie i opracowanie zadań laboratoryjnych – 30h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metod obliczeniowych chemii kwantowej, 
•	znać kryteria wyboru metody obliczeń kwantowo-mechanicznych adekwatnej do postawionego celu badawczego, np. do badań oddziaływań wewnątrz- i międzycząsteczkowych,
•	na podstawie dostępnych źródeł literaturowych i internetowych zapoznać się samodzielnie z wybranym zagadnieniem,
•	być świadomym możliwości porównanie wyników obliczeń z dostępnymi wynikami badań doświadczalnych.
</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modelowania molekularnego: metody chemii teoretycznej, bazy funkcyjne, korelacja elektronowa, teoria oddziaływań międzycząsteczkowych</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 T2A_W03</w:t>
      </w:r>
    </w:p>
    <w:p>
      <w:pPr>
        <w:keepNext w:val="1"/>
        <w:spacing w:after="10"/>
      </w:pPr>
      <w:r>
        <w:rPr>
          <w:b/>
          <w:bCs/>
        </w:rPr>
        <w:t xml:space="preserve">Efekt W02: </w:t>
      </w:r>
    </w:p>
    <w:p>
      <w:pPr/>
      <w:r>
        <w:rPr/>
        <w:t xml:space="preserve">posiada wiedzę pozwalającą na efektywne wykorzystanie dostępnych  technik obliczeniowych i pakietów oprogramowania </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K_W06, K_W08, K_W10</w:t>
      </w:r>
    </w:p>
    <w:p>
      <w:pPr>
        <w:spacing w:before="20" w:after="190"/>
      </w:pPr>
      <w:r>
        <w:rPr>
          <w:b/>
          <w:bCs/>
        </w:rPr>
        <w:t xml:space="preserve">Powiązane efekty obszarowe: </w:t>
      </w:r>
      <w:r>
        <w:rPr/>
        <w:t xml:space="preserve">T2A_W01, T2A_W04,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doboru i wykorzystywania metody obliczeniowej adekwatnej do rozwiązywanego problemu oraz porównania wyników obliczeń z dostępnymi wynikami badań doświadczalnych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 K_U06, K_U08</w:t>
      </w:r>
    </w:p>
    <w:p>
      <w:pPr>
        <w:spacing w:before="20" w:after="190"/>
      </w:pPr>
      <w:r>
        <w:rPr>
          <w:b/>
          <w:bCs/>
        </w:rPr>
        <w:t xml:space="preserve">Powiązane efekty obszarowe: </w:t>
      </w:r>
      <w:r>
        <w:rPr/>
        <w:t xml:space="preserve">T1A_U01, T1A_U05, T2A_U03, T2A_U06, T2A_U07, 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i podnoszenia swoich kompetencji zawodowych, potrafi pracować samodzielnie studiując wybrane zagadnienie oraz docenić umiejętność pracy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2026-06-29T15:31:14+02:00</dcterms:created>
  <dcterms:modified xsi:type="dcterms:W3CDTF">2026-06-29T15:31:14+02:00</dcterms:modified>
</cp:coreProperties>
</file>

<file path=docProps/custom.xml><?xml version="1.0" encoding="utf-8"?>
<Properties xmlns="http://schemas.openxmlformats.org/officeDocument/2006/custom-properties" xmlns:vt="http://schemas.openxmlformats.org/officeDocument/2006/docPropsVTypes"/>
</file>