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Bioethics</w:t>
      </w:r>
    </w:p>
    <w:p>
      <w:pPr>
        <w:keepNext w:val="1"/>
        <w:spacing w:after="10"/>
      </w:pPr>
      <w:r>
        <w:rPr>
          <w:b/>
          <w:bCs/>
        </w:rPr>
        <w:t xml:space="preserve">Koordynator przedmiotu: </w:t>
      </w:r>
    </w:p>
    <w:p>
      <w:pPr>
        <w:spacing w:before="20" w:after="190"/>
      </w:pPr>
      <w:r>
        <w:rPr/>
        <w:t xml:space="preserve">dr Beata Witkowska-Maksimczuk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A participant who has successfully completed this course should: 
1) Be able to understand the complex normative systems of bioethics, health law and international human rights as they impact on the development of health policy, locally, nationally and internationally. 
2) Be able to apply the complex normative systems of bioethics, health law and international human rights as they apply to a variety of contemporary issues in this area locally, nationally and internationally 
3) Be able to understand the impact on the complex normative systems of bioethics, health law and international human rights of international trade agreements and the lobbying principles of corporate globalisation 
4) Be able to write and speak effectively at an academic or high policy level in the areas of regulation of cost-effectiveness evaluation of medicines and access to health services 
5) Be able to effectively resolve disputes arising in this area in private or public legal practise.
</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2026-07-28T10:15:38+02:00</dcterms:created>
  <dcterms:modified xsi:type="dcterms:W3CDTF">2026-07-28T10:15:38+02:00</dcterms:modified>
</cp:coreProperties>
</file>

<file path=docProps/custom.xml><?xml version="1.0" encoding="utf-8"?>
<Properties xmlns="http://schemas.openxmlformats.org/officeDocument/2006/custom-properties" xmlns:vt="http://schemas.openxmlformats.org/officeDocument/2006/docPropsVTypes"/>
</file>