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laboratorium – 60 h,
2.	przygotowanie do zajęć laboratoryjnych i przygotowanie sprawozdań – 30 h,
3.    przygotowanie do kolokwium końcowego i obecność na kolokwium – 6 h
Razem nakład pracy studenta: 60h+ 30h + 6h = 96h,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60 h, w tym:
a)	obecność na laboratorium – 60 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praktyczne zajęcia laboratoryjne 60 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praktyczną z zakresu technik stosowanych do rozdzielania produktów w biotechnologii,
•	dysponować wiedzą porównawczą na różnych procesów ich zalety i ograniczeń zastosowania oraz znać praktycznie podstawy fizykochemiczne i prowadzenia omawianych procesów,
•	potrafić wykonać ilościowe badania przebiegu procesów rozdzielania w biotechnologii,
</w:t>
      </w:r>
    </w:p>
    <w:p>
      <w:pPr>
        <w:keepNext w:val="1"/>
        <w:spacing w:after="10"/>
      </w:pPr>
      <w:r>
        <w:rPr>
          <w:b/>
          <w:bCs/>
        </w:rPr>
        <w:t xml:space="preserve">Treści kształcenia: </w:t>
      </w:r>
    </w:p>
    <w:p>
      <w:pPr>
        <w:spacing w:before="20" w:after="190"/>
      </w:pPr>
      <w:r>
        <w:rPr/>
        <w:t xml:space="preserve">Na laboratorium wykonywane są odrębne jednostki ćwiczeniowe. Studenci uczą się praktycznie badania następujących procesów: filtracja wgłębna, wymiana jonowa, elektroflotacja, separacja pianowa, dializa, flokulacja, sedymentacja, elektroforeza, diafiltracja, dezintegracja i chromatografia. Każde ćwiczenie posiada własną pisemną instrukcję wykonania zawierającą opis fizyko-chemicznych podstaw zjawiska, budowy i działania aparatury na stanowisku badawczym, sposób przeprowadzenia pomiarów oraz wytyczne do przygotowania sprawozdania.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5.	P. Grzybowski i in., Laboratorium procesów oczyszczania cieczy, Oficyna Wydawnicza 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Posiada umiejętność samodzielnego planowania i wykonywania badań eksperymentalnych, realizacji prostych zdań badawczych i przeprowadzenia ekspertyz pod opieką opiekuna naukowego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2026-10-01T17:08:05+02:00</dcterms:created>
  <dcterms:modified xsi:type="dcterms:W3CDTF">2026-10-01T17:08:05+02:00</dcterms:modified>
</cp:coreProperties>
</file>

<file path=docProps/custom.xml><?xml version="1.0" encoding="utf-8"?>
<Properties xmlns="http://schemas.openxmlformats.org/officeDocument/2006/custom-properties" xmlns:vt="http://schemas.openxmlformats.org/officeDocument/2006/docPropsVTypes"/>
</file>