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Postepy w technologii procesów rafineryjnych i petrochemicznych</w:t>
      </w:r>
    </w:p>
    <w:p>
      <w:pPr>
        <w:keepNext w:val="1"/>
        <w:spacing w:after="10"/>
      </w:pPr>
      <w:r>
        <w:rPr>
          <w:b/>
          <w:bCs/>
        </w:rPr>
        <w:t xml:space="preserve">Koordynator przedmiotu: </w:t>
      </w:r>
    </w:p>
    <w:p>
      <w:pPr>
        <w:spacing w:before="20" w:after="190"/>
      </w:pPr>
      <w:r>
        <w:rPr/>
        <w:t xml:space="preserve">dr /Marcin Przedlacki/adiunkt</w:t>
      </w:r>
    </w:p>
    <w:p>
      <w:pPr>
        <w:keepNext w:val="1"/>
        <w:spacing w:after="10"/>
      </w:pPr>
      <w:r>
        <w:rPr>
          <w:b/>
          <w:bCs/>
        </w:rPr>
        <w:t xml:space="preserve">Status przedmiotu: </w:t>
      </w:r>
    </w:p>
    <w:p>
      <w:pPr>
        <w:spacing w:before="20" w:after="190"/>
      </w:pPr>
      <w:r>
        <w:rPr/>
        <w:t xml:space="preserve">Fakultatywny ograniczonego wyboru</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Technologia Chemiczna</w:t>
      </w:r>
    </w:p>
    <w:p>
      <w:pPr>
        <w:keepNext w:val="1"/>
        <w:spacing w:after="10"/>
      </w:pPr>
      <w:r>
        <w:rPr>
          <w:b/>
          <w:bCs/>
        </w:rPr>
        <w:t xml:space="preserve">Grupa przedmiotów: </w:t>
      </w:r>
    </w:p>
    <w:p>
      <w:pPr>
        <w:spacing w:before="20" w:after="190"/>
      </w:pPr>
      <w:r>
        <w:rPr/>
        <w:t xml:space="preserve">specjalnościowe</w:t>
      </w:r>
    </w:p>
    <w:p>
      <w:pPr>
        <w:keepNext w:val="1"/>
        <w:spacing w:after="10"/>
      </w:pPr>
      <w:r>
        <w:rPr>
          <w:b/>
          <w:bCs/>
        </w:rPr>
        <w:t xml:space="preserve">Kod przedmiotu: </w:t>
      </w:r>
    </w:p>
    <w:p>
      <w:pPr>
        <w:spacing w:before="20" w:after="190"/>
      </w:pPr>
      <w:r>
        <w:rPr/>
        <w:t xml:space="preserve">IICR02</w:t>
      </w:r>
    </w:p>
    <w:p>
      <w:pPr>
        <w:keepNext w:val="1"/>
        <w:spacing w:after="10"/>
      </w:pPr>
      <w:r>
        <w:rPr>
          <w:b/>
          <w:bCs/>
        </w:rPr>
        <w:t xml:space="preserve">Semestr nominalny: </w:t>
      </w:r>
    </w:p>
    <w:p>
      <w:pPr>
        <w:spacing w:before="20" w:after="190"/>
      </w:pPr>
      <w:r>
        <w:rPr/>
        <w:t xml:space="preserve">2 / rok ak. 2011/2012</w:t>
      </w:r>
    </w:p>
    <w:p>
      <w:pPr>
        <w:keepNext w:val="1"/>
        <w:spacing w:after="10"/>
      </w:pPr>
      <w:r>
        <w:rPr>
          <w:b/>
          <w:bCs/>
        </w:rPr>
        <w:t xml:space="preserve">Liczba punktów ECTS: </w:t>
      </w:r>
    </w:p>
    <w:p>
      <w:pPr>
        <w:spacing w:before="20" w:after="190"/>
      </w:pPr>
      <w:r>
        <w:rPr/>
        <w:t xml:space="preserve">3</w:t>
      </w:r>
    </w:p>
    <w:p>
      <w:pPr>
        <w:keepNext w:val="1"/>
        <w:spacing w:after="10"/>
      </w:pPr>
      <w:r>
        <w:rPr>
          <w:b/>
          <w:bCs/>
        </w:rPr>
        <w:t xml:space="preserve">Liczba godzin pracy studenta związanych z osiągnięciem efektów uczenia się: </w:t>
      </w:r>
    </w:p>
    <w:p>
      <w:pPr>
        <w:spacing w:before="20" w:after="190"/>
      </w:pPr>
      <w:r>
        <w:rPr/>
        <w:t xml:space="preserve"/>
      </w:r>
    </w:p>
    <w:p>
      <w:pPr>
        <w:keepNext w:val="1"/>
        <w:spacing w:after="10"/>
      </w:pPr>
      <w:r>
        <w:rPr>
          <w:b/>
          <w:bCs/>
        </w:rPr>
        <w:t xml:space="preserve">Liczba punktów ECTS na zajęciach wymagających bezpośredniego udziału nauczycieli akademickich: </w:t>
      </w:r>
    </w:p>
    <w:p>
      <w:pPr>
        <w:spacing w:before="20" w:after="190"/>
      </w:pPr>
      <w:r>
        <w:rPr/>
        <w:t xml:space="preserve"/>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15h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w:t>
      </w:r>
    </w:p>
    <w:p>
      <w:pPr>
        <w:keepNext w:val="1"/>
        <w:spacing w:after="10"/>
      </w:pPr>
      <w:r>
        <w:rPr>
          <w:b/>
          <w:bCs/>
        </w:rPr>
        <w:t xml:space="preserve">Limit liczby studentów: </w:t>
      </w:r>
    </w:p>
    <w:p>
      <w:pPr>
        <w:spacing w:before="20" w:after="190"/>
      </w:pPr>
      <w:r>
        <w:rPr/>
        <w:t xml:space="preserve"/>
      </w:r>
    </w:p>
    <w:p>
      <w:pPr>
        <w:keepNext w:val="1"/>
        <w:spacing w:after="10"/>
      </w:pPr>
      <w:r>
        <w:rPr>
          <w:b/>
          <w:bCs/>
        </w:rPr>
        <w:t xml:space="preserve">Cel przedmiotu: </w:t>
      </w:r>
    </w:p>
    <w:p>
      <w:pPr>
        <w:spacing w:before="20" w:after="190"/>
      </w:pPr>
      <w:r>
        <w:rPr/>
        <w:t xml:space="preserve">-</w:t>
      </w:r>
    </w:p>
    <w:p>
      <w:pPr>
        <w:keepNext w:val="1"/>
        <w:spacing w:after="10"/>
      </w:pPr>
      <w:r>
        <w:rPr>
          <w:b/>
          <w:bCs/>
        </w:rPr>
        <w:t xml:space="preserve">Treści kształcenia: </w:t>
      </w:r>
    </w:p>
    <w:p>
      <w:pPr>
        <w:spacing w:before="20" w:after="190"/>
      </w:pPr>
      <w:r>
        <w:rPr/>
        <w:t xml:space="preserve">W-Ogólne prognozy zmian w technologii rafineryjnej początku XXI wieku. Zastosowanie procesów membranowych w rafinerii. Postępy w technologii alkilowania frakcji C3 - C5 lekkimi olefinami w obecności HF lub kwasu siarkowego. Nowoczesne metody produkcji wodoru w rafinerii. Biotechnologiczne procesy odsiarczania paliw płynnych i gazów. Produkcja paliw płynnych z biomasy. Postępy w technologii izomeryzacji lekkich frakcji benzynowych. Nowoczesne procesy wydzielania i rozdzielania węglowodorów aromatycznych. Procesy wodorowe w produkcji paliw silnikowych i olejów smarowych. Nowoczesne procesy przeróbki gudronu. , Ć- Tematyka zagadnień technologicznych opracowywanych przez studentów jest corocznie aktualizowana z uwzględnieniem najnowszych trendów i osiągnięć technologicznych.</w:t>
      </w:r>
    </w:p>
    <w:p>
      <w:pPr>
        <w:keepNext w:val="1"/>
        <w:spacing w:after="10"/>
      </w:pPr>
      <w:r>
        <w:rPr>
          <w:b/>
          <w:bCs/>
        </w:rPr>
        <w:t xml:space="preserve">Metody oceny: </w:t>
      </w:r>
    </w:p>
    <w:p>
      <w:pPr>
        <w:spacing w:before="20" w:after="190"/>
      </w:pPr>
      <w:r>
        <w:rPr/>
        <w:t xml:space="preserve">-</w:t>
      </w:r>
    </w:p>
    <w:p>
      <w:pPr>
        <w:keepNext w:val="1"/>
        <w:spacing w:after="10"/>
      </w:pPr>
      <w:r>
        <w:rPr>
          <w:b/>
          <w:bCs/>
        </w:rPr>
        <w:t xml:space="preserve">Egzamin: </w:t>
      </w:r>
    </w:p>
    <w:p>
      <w:pPr>
        <w:spacing w:before="20" w:after="190"/>
      </w:pPr>
      <w:r>
        <w:rPr/>
        <w:t xml:space="preserve"/>
      </w:r>
    </w:p>
    <w:p>
      <w:pPr>
        <w:keepNext w:val="1"/>
        <w:spacing w:after="10"/>
      </w:pPr>
      <w:r>
        <w:rPr>
          <w:b/>
          <w:bCs/>
        </w:rPr>
        <w:t xml:space="preserve">Literatura: </w:t>
      </w:r>
    </w:p>
    <w:p>
      <w:pPr>
        <w:spacing w:before="20" w:after="190"/>
      </w:pPr>
      <w:r>
        <w:rPr/>
        <w:t xml:space="preserve">1. Grzywa E., Molenda J., Technologia podstawowych syntez organicznych, Tom 1, WNT, Warszawa, 2008
2. Leprince P., Petroleum Refining. Volume 3, Conversion Processes. Technip, Paris, 2001
3. Meyers R. A., Handbook of Petrochemicals Production Processes, McGraw-Hill Professional Publishing, New York, 2004
4. Speight J. G., Ozum B., Petroleum Refining Processes, Marcel Dekker Inc., New York, 2002
5. Parkash S., Refining Processes Handbook, Gulf Professional Publishing, New York, 2003</w:t>
      </w:r>
    </w:p>
    <w:p>
      <w:pPr>
        <w:keepNext w:val="1"/>
        <w:spacing w:after="10"/>
      </w:pPr>
      <w:r>
        <w:rPr>
          <w:b/>
          <w:bCs/>
        </w:rPr>
        <w:t xml:space="preserve">Witryna www przedmiotu: </w:t>
      </w:r>
    </w:p>
    <w:p>
      <w:pPr>
        <w:spacing w:before="20" w:after="190"/>
      </w:pPr>
      <w:r>
        <w:rPr/>
        <w:t xml:space="preserve"/>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2026-05-30T00:33:25+02:00</dcterms:created>
  <dcterms:modified xsi:type="dcterms:W3CDTF">2026-05-30T00:33:25+02:00</dcterms:modified>
</cp:coreProperties>
</file>

<file path=docProps/custom.xml><?xml version="1.0" encoding="utf-8"?>
<Properties xmlns="http://schemas.openxmlformats.org/officeDocument/2006/custom-properties" xmlns:vt="http://schemas.openxmlformats.org/officeDocument/2006/docPropsVTypes"/>
</file>