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mozliwością wyboru</w:t>
      </w:r>
    </w:p>
    <w:p>
      <w:pPr>
        <w:keepNext w:val="1"/>
        <w:spacing w:after="10"/>
      </w:pPr>
      <w:r>
        <w:rPr>
          <w:b/>
          <w:bCs/>
        </w:rPr>
        <w:t xml:space="preserve">Kod przedmiotu: </w:t>
      </w:r>
    </w:p>
    <w:p>
      <w:pPr>
        <w:spacing w:before="20" w:after="190"/>
      </w:pPr>
      <w:r>
        <w:rPr/>
        <w:t xml:space="preserve">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WKŁ, Warszawa 2007.
2. Czudek H., Radomski W., Podstawy mostownictwa, PWN, Warszawa 1974.
3. Karlikowski J., Madaj A., Wołowicki W., Mostowe konstrukcje zespolone stalowo-betonowe, WKŁ,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2026-10-01T23:12:29+02:00</dcterms:created>
  <dcterms:modified xsi:type="dcterms:W3CDTF">2026-10-01T23:12:29+02:00</dcterms:modified>
</cp:coreProperties>
</file>

<file path=docProps/custom.xml><?xml version="1.0" encoding="utf-8"?>
<Properties xmlns="http://schemas.openxmlformats.org/officeDocument/2006/custom-properties" xmlns:vt="http://schemas.openxmlformats.org/officeDocument/2006/docPropsVTypes"/>
</file>