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Degradacja Strukturalna Materiałów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zw. dr hab. Krzysztof Jan Kurzydłowski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Materiałowa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2009/2010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Przekazanie studentom podstawowej wiedzy o przyczynach zachodzenia degradacji strukturalnej materiałów, zasadach projektowania materiałów pracujących w warunkach degradacji, degradacja w warunkach pełzania, wpływ promieniowania na degradację materiałów, zasady projektowania materiałów pracujących w warunkach degradacji.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 Podstawowe treści: definicja i przyczyny zachodzenia degradacji, monitorowanie degradacji, zasady projektowania materiałów pracujących w warunkach degradacji.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na podstawie aktywności na zajęciach.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Materiały wykładowe M.F. Ashby, D.R.H. Jones, Materiały Inżynierskie 1 i 2, WNT 1997 J.W.Wyrzkowski, J. Sieniawski, E. Pleszakow, Odkształcenie i Pękanie Metali, WNT 1998; K.J. Kurzydłowski, B. Ralph: The quantitative description of the microstructure of materials, CRC Press, New York 1995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2025-06-14T08:27:45+02:00</dcterms:created>
  <dcterms:modified xsi:type="dcterms:W3CDTF">2025-06-14T08:27:45+02:00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