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przygotowaniu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	Izotopy dla medycyny nuklearnej (4h);
•	Anatomia i fizjologia organów (4h);
•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	Automatyzacja diagnostyki izotopowej w badaniach:
o	układu nerwowego (ocena przepływu przez naczynia szyjne, naczynia krwionośne i perfuzja półkul mózgowych),
o	czynności komór serca: (metodą pierwszego przejścia, metodą bramkowania sygnałem EKG),
o	przepływu krwi w mięśniu sercowym (badania z zastosowaniem izotopu talu Tl-201, badania za pomocą związków izonitrylowych - MIBI),
o	czynności nerek (ocena klirensu i filtracji kłębkowej (GFR), wychwyt DMSA),
o	czynności wątroby (przepływ krwi w układzie wrotnym),
o	układu pokarmowego (ocena refluksu przełykowo-żołądkowego),
o	tarczycy (perfuzja płatów tarczycy i guzków, wychwyt jodowy),
1.	Statystyka pomiarów scyntygraficznych
2.	Budowa i zasada działania gammakamery
3.	Akwizycja obrazów gammakamerowych
4.	Analiza wybranych badań czynnościowych
5.	Algorytmy rekonstrukcji obrazów dla tomografii SPECT
6.	Analiza tomograficznych obrazów multimodalnych
</w:t>
      </w:r>
    </w:p>
    <w:p>
      <w:pPr>
        <w:keepNext w:val="1"/>
        <w:spacing w:after="10"/>
      </w:pPr>
      <w:r>
        <w:rPr>
          <w:b/>
          <w:bCs/>
        </w:rPr>
        <w:t xml:space="preserve">Metody oceny: </w:t>
      </w:r>
    </w:p>
    <w:p>
      <w:pPr>
        <w:spacing w:before="20" w:after="190"/>
      </w:pPr>
      <w:r>
        <w:rPr/>
        <w:t xml:space="preserve">W przygotowaniu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2026-10-07T08:00:29+02:00</dcterms:created>
  <dcterms:modified xsi:type="dcterms:W3CDTF">2026-10-07T08:00:29+02:00</dcterms:modified>
</cp:coreProperties>
</file>

<file path=docProps/custom.xml><?xml version="1.0" encoding="utf-8"?>
<Properties xmlns="http://schemas.openxmlformats.org/officeDocument/2006/custom-properties" xmlns:vt="http://schemas.openxmlformats.org/officeDocument/2006/docPropsVTypes"/>
</file>