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zarządcza i kontroling </w:t>
      </w:r>
    </w:p>
    <w:p>
      <w:pPr>
        <w:keepNext w:val="1"/>
        <w:spacing w:after="10"/>
      </w:pPr>
      <w:r>
        <w:rPr>
          <w:b/>
          <w:bCs/>
        </w:rPr>
        <w:t xml:space="preserve">Koordynator przedmiotu: </w:t>
      </w:r>
    </w:p>
    <w:p>
      <w:pPr>
        <w:spacing w:before="20" w:after="190"/>
      </w:pPr>
      <w:r>
        <w:rPr/>
        <w:t xml:space="preserve"> Mgr Lidia Sobczak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RAZAK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koszt finansowy, koszt mieszany, koszt ogólnego zarządu, rachunek kosztów, standard, świadczenie, wariant kalkulacyjny i porównawczy, marża, nośnik kosztów, punkt krytyczny, dŹwignia operacyjna, platforma produktu, cena, księgowa stopa zwrotu, okres zwrotu, wewnętrzna stopa zwrotu, aktualna wartość netto, indeks zyskowności, budżetowanie kapitałowe, koszt kapitału, model wyceny aktywów kapitałowych, ryzyko, wskaŹnik efektywości kosztów stałych, wartość bieżąca, stopa dyskontowa, wartość oczekiwana, budżet, kontrola, plan, cena wewnętrzna, Kaizen, Target Costing, cena optymalna, inwestycje, stopa zwrotu, okres zwrotu, indeks zyskowności, aktualna wartość netto, przepływy pieniężne, kontrola, planowanie, standard, odchylenie od standardu, raport kontrolno-wynikowy, Balanced Scorecard, outsourcing, benchmarking.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koncepcji i metod rachunkowości zarządczej i kontrolingu wykorzystywanych w praktyce współczesnych wielkich i średnich przedsiębiorstw, ułatwiających formułowanie i realizację różnych strategii rozwoju. Przedstawienie procedur tworzenia systemów informacyjnych wspomagających menedżerów w procesach podejmowania decyzji, planowania ekonomicznego i kontroli realizacji planów. Wskazanie miejsca rachunkowości zarządczej i kontrolingu w aktywnym rozwiązywaniu problemów organizacji gospodarczej.</w:t>
      </w:r>
    </w:p>
    <w:p>
      <w:pPr>
        <w:keepNext w:val="1"/>
        <w:spacing w:after="10"/>
      </w:pPr>
      <w:r>
        <w:rPr>
          <w:b/>
          <w:bCs/>
        </w:rPr>
        <w:t xml:space="preserve">Treści kształcenia: </w:t>
      </w:r>
    </w:p>
    <w:p>
      <w:pPr>
        <w:spacing w:before="20" w:after="190"/>
      </w:pPr>
      <w:r>
        <w:rPr/>
        <w:t xml:space="preserve">WYKŁAD 1. Wprowadzenie. 2. Podstawy rachunku kosztów. 3. Systemy rachunku kosztów i wyników. 4. Współczesne systemy rachunku kosztów i metod zarządzania. 5. Pomiar, grupowanie i rozliczanie kosztów. 6. Kalkulacyjny rachunek kosztów. 7. Kalkulacja uwzględniająca koszty działań. 8. Budżetowanie. 9. Budżetowanie i analiza odchyleń kosztów normatywnych. 10. Kosztyrozmiarywyniki w decyzjach krótkoterminowych. 11. Decyzje cenowe w przedsiębiorstwie. 12. Rachunkowość zarządcza w decyzjach długookresowych. 13. Kontrola w zarządzaniu. 14. Zrównoważona karta dokonań. 15. Rachunkowość zarządcza i kontroling w praktyce polskiej. ĆWICZENIA 1. Rachunek kosztów dla celów sprawozdawczych. 2. Rachunek kosztów normalnych, standardowych, działalność pomocnicza. 3. Rachunek kosztów dla zarządzania. 4. Rachunek kosztów zmiennych dla celów decyzyjnych i krótkookresowej oceny. 5. Zarządzanie kosztami nowych produktów i technologii. 6. Ceny sprzedaży produktów. 7. Ocena efektywności projektów inwestycyjnych. 8. Budżet jako instrument zarządzania. 9. Kontrola w zarządzaniu.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Dobija M., Rachunkowość zarządcza i controlling, PWN, Warszawa 2001 2. Jarugowa A.(red.), Rachunek kosztów i rachunkowość zarządcza, Stow. Księgowych w Polsce, Warszawa 2002 3. Jaruga A., Nowak W., Szychta A., Rachunkowość zarządcza. Koncepcje i zastosowania, Absolwent, ŁódŹ 2001 4. Gabrusewicz W., Kamela-Sowińska A., Poetschke H., Rachunkowość zarządcza, PWE, Warszawa 2000 5. Nowak E. (red.), Controlling w przedsiębiorstwie: koncepcje i instrumenty, Ośr. Doradztwa i Doskonalenia Kadr, Gdańsk 2003 6. Sobańska I. (red.), Rachunek kosztów i rachunkowość zarządcza, C.H. Beck, Warszawa 2003 7. Świderska G. (red.), Rachunkowość zarządcza i rachunek kosztów, Difin,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2026-05-07T17:47:52+02:00</dcterms:created>
  <dcterms:modified xsi:type="dcterms:W3CDTF">2026-05-07T17:47:52+02:00</dcterms:modified>
</cp:coreProperties>
</file>

<file path=docProps/custom.xml><?xml version="1.0" encoding="utf-8"?>
<Properties xmlns="http://schemas.openxmlformats.org/officeDocument/2006/custom-properties" xmlns:vt="http://schemas.openxmlformats.org/officeDocument/2006/docPropsVTypes"/>
</file>