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zarządzanie ryzykiem</w:t>
      </w:r>
    </w:p>
    <w:p>
      <w:pPr>
        <w:keepNext w:val="1"/>
        <w:spacing w:after="10"/>
      </w:pPr>
      <w:r>
        <w:rPr>
          <w:b/>
          <w:bCs/>
        </w:rPr>
        <w:t xml:space="preserve">Kod przedmiotu: </w:t>
      </w:r>
    </w:p>
    <w:p>
      <w:pPr>
        <w:spacing w:before="20" w:after="190"/>
      </w:pPr>
      <w:r>
        <w:rPr/>
        <w:t xml:space="preserve">AFIFI</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finansami instytucji finansowych. Przedmiot ma cele poznawcze (przekazanie wiedzy dotyczącej teoretycznych podstaw zarządzania finansami instytucji finansowych) oraz aplikacyjne związane ze zdobyciem umiejętności prowadzenia analiz finansowych tych instytucji. Cele poznawcze realizowane będą na wykładzie zaś aplikacyjne w trakcie ćwiczeń.  </w:t>
      </w:r>
    </w:p>
    <w:p>
      <w:pPr>
        <w:keepNext w:val="1"/>
        <w:spacing w:after="10"/>
      </w:pPr>
      <w:r>
        <w:rPr>
          <w:b/>
          <w:bCs/>
        </w:rPr>
        <w:t xml:space="preserve">Treści kształcenia: </w:t>
      </w:r>
    </w:p>
    <w:p>
      <w:pPr>
        <w:spacing w:before="20" w:after="190"/>
      </w:pPr>
      <w:r>
        <w:rPr/>
        <w:t xml:space="preserve">Program ramowy jednostki dydaktycznej W w podziale na godziny zajęć:
      W1-W2 – Podstawowe pojęcia z zakresu ubezpieczeń.
      W3 – Zagadnienia wprowadzające w problematykę ubezpieczeń.
      W4 – Podstawy techniczne ubezpieczeń.
      W5-W6  – Procesy realizowane w zakładach ubezpieczeń.
      W7 – Zarządzanie finansami zakładów ubezpieczeń.
      W8 – Ryzyka finansowe występujące w działalności ubezpieczeniowej.
      W9 – W10 – Rezerwy techniczno – ubezpieczeniowe w zakładach ubezpieczeń.
      W11-W12 – Zarządzanie działalnością inwestycyjna zakładów ubezpieczeń.
      W13-W14 – Zarządzanie reasekuracją w zakładach ubezpieczeń.
      W15 - Test
Program ramowy jednostki dydaktycznej C w podziale na godziny zajęć:
      C1-C2 – Sprawozdanie finansowe zakładów ubezpieczeń.
       C3-C5 – Wpływ operacji związanych z zawarciem umowy ubezpieczenia na wyniki finansowe zakładu ubezpieczeń.
       C6-C7 – Wpływ operacji związanych z wypłatą odszkodowania na wyniki finansowe zakładu ubezpieczeń.
</w:t>
      </w:r>
    </w:p>
    <w:p>
      <w:pPr>
        <w:keepNext w:val="1"/>
        <w:spacing w:after="10"/>
      </w:pPr>
      <w:r>
        <w:rPr>
          <w:b/>
          <w:bCs/>
        </w:rPr>
        <w:t xml:space="preserve">Metody oceny: </w:t>
      </w:r>
    </w:p>
    <w:p>
      <w:pPr>
        <w:spacing w:before="20" w:after="190"/>
      </w:pPr>
      <w:r>
        <w:rPr/>
        <w:t xml:space="preserve">Wykład Test- Test pisemny sprawdzający znajomość zagadnień omawianych na W2-W14- 50 pkt
Ćwiczenia Projekt- Opracowanie analiza finansowej zadanej instytucji finansowej- 50 pkt
Razem: 100 pkt
Liczba pkt	Ocena końcowa
91-100	5,0
81-90	4,5
71-80	4,0
61-70	3,5
52-60	3,0
0-51	2,0
Uwaga! Warunkiem zaliczenia przedmiotu jest zaliczenie każdej z jednostek (wykładu i ćwiczeń) na min 26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Pomoce dydaktyczne do wykładu:
[1] Monkiewicz J., Gąsiorkiewicz L., Hadyniak B., Zarządzanie finansami ubezpieczeń, Poltext,  Warszawa 1999.
[2] Monkiewicz J. (red), Podstawy ubezpieczeń. Tom I – mechanizmy i funkcje, Poltext, Warszawa 2000.
[3] Monkiewicz J. (red), Podstawy ubezpieczeń. Tom II – produkty, Poltext, Warszawa 2001.
[4] Monkiewicz J. (red.), Ubezpieczenia w Unii Europejskiej, Poltext, Warszawa 2002.
[5] Monkiewicz J. (red), Podstawy ubezpieczeń. Tom I – przedsiębiorstwo ubezpieczeniowe, Poltext, Warszawa 2003.
[6] Ronka – Chmielowiec W. (red.), Zarządzania finansami w zakładach ubezpieczeń, Oficyna Branta, Bydgoszcz – Wrocław 2004. 
Pomoce dydaktyczne do ćwiczeń:
[1] Gąsiorkiewicz L., Analiza ekonomiczno – finansowa przedsiębiorstw. Oficyna Wydawnicza  Politechniki Warszawskiej, Warszawa 2002. [2] Gąsiorkiewicz L., Finanse zakładów ubezpieczeń majątkowych. Teoria i praktyka. Wydawnictwo C.H. Beck,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2026-08-22T07:29:07+02:00</dcterms:created>
  <dcterms:modified xsi:type="dcterms:W3CDTF">2026-08-22T07:29:07+02:00</dcterms:modified>
</cp:coreProperties>
</file>

<file path=docProps/custom.xml><?xml version="1.0" encoding="utf-8"?>
<Properties xmlns="http://schemas.openxmlformats.org/officeDocument/2006/custom-properties" xmlns:vt="http://schemas.openxmlformats.org/officeDocument/2006/docPropsVTypes"/>
</file>