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ryzykiem,ubezpieczenia,instrumenty pochodne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wiedzy.Prezentowanie  studiów przypadku w zakresie mapowania ryzyka, analizy ryzyka dyskontynuacji, transferu ryzyka.</w:t>
      </w:r>
    </w:p>
    <w:p>
      <w:pPr>
        <w:keepNext w:val="1"/>
        <w:spacing w:after="10"/>
      </w:pPr>
      <w:r>
        <w:rPr>
          <w:b/>
          <w:bCs/>
        </w:rPr>
        <w:t xml:space="preserve">Treści kształcenia: </w:t>
      </w:r>
    </w:p>
    <w:p>
      <w:pPr>
        <w:spacing w:before="20" w:after="190"/>
      </w:pPr>
      <w:r>
        <w:rPr/>
        <w:t xml:space="preserve">1. Przedsiębiorczość a ryzyko
2. Klasyfikacja ryzyk
3. Ryzyka strategiczne
4. Ryzyka biznesowe
5. Ryzyka finansowe
6. Ryzyka operacyjne
7. Obszary ryzyk w przedsiębiorstwie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T.T. Kaczmarek, Ryzyko i zarządzanie ryzykiem, Difin, Warszawa 2005
2.    P.L. Bernstein Przeciw bogom, WiG PRESS, Warszawa 1997
3.    C.A. Williams Jr, M.L.Smith, P.C. Young, Zarządzanie ryzykiem a ubezpiecze-    
       czenia, PWN, Warszawa 2002
4.    R.Kendall, Zarządanie ryzykiem dla menedżerów, Liber, Warszawa 2000
5.    P.Matkowski, Zarządzanie ryzykiem operacyjnym,Wolters Kluwer, Kraków 
       2006 
6.    A. M. Olkiewicz, Ograniczanie niepewności i ryzyka, Poltext,Warszawa 2005 
7.    R.E.S Boulton, Odczytując kod wartości, WIG Press, Warszawa 2001
8.   A.Ehrbar, Strategia tworzenia wartości przedsiębiorstwa, WIG Press, 
      Warszawa 2000  
9.	Y.Y.Chong, E.M.Brown, Zarządzanie ryzykiem projektu, Oficyna Ekonomiczna 
DW ABC, Kraków 2001
10.J.Monkiewicz(red)Podstawy ubezpieczeń,Tom I,Poltext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2026-06-11T06:48:11+02:00</dcterms:created>
  <dcterms:modified xsi:type="dcterms:W3CDTF">2026-06-11T06:48:11+02:00</dcterms:modified>
</cp:coreProperties>
</file>

<file path=docProps/custom.xml><?xml version="1.0" encoding="utf-8"?>
<Properties xmlns="http://schemas.openxmlformats.org/officeDocument/2006/custom-properties" xmlns:vt="http://schemas.openxmlformats.org/officeDocument/2006/docPropsVTypes"/>
</file>