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Wybrany przez studenta promotor pracy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Wszystkie przedmioty podstawowe i kierunkowe z I stopnia nauczania oraz 1 sem. na II stopniu nauczania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Synteza zdobytej wiedzy w obszarze nauczania na kierunku inżynieria materiałowa w obszarze wybranej specjalności. Zapoznanie studentów z metodyką pracy naukowej (wybór i formułowanie tezy naukowej, analiza aktualnego stanu wiedzy, opracowanie metodyki badań, weryfikacja i krytyczna dyskusja otrzymanych wyników badań). Zapoznanie studenta z zasadami pisania naukowych tekstów technicznych oraz informatycznymi zasobami literatury naukowej.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Zapoznanie studentów z: 1. Formułowaniem i wyborem problemu naukowego 2. Doborem metod badań i weryfikacji tezy naukowej 3. Krytyczną analizą otrzymanych wyników badań naukowych 4. Analizą aktualnego stanu wiedzy w obszarze wybranej dyscypliny naukowej 5. Posługiwaniem się nowoczesnymi informatycznymi zasobami bazy naukowej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oceny aktywności studenta podczas realizacji pracy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akademickie, Artykuły naukowe. Strony WWW – według zaleceń promotora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2025-06-24T20:39:30+02:00</dcterms:created>
  <dcterms:modified xsi:type="dcterms:W3CDTF">2025-06-24T20:39:30+02:00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