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zakresu geodezji inżynieryjnej, katastru, systemów informacji przestrzennej, geodezyjnych systemów pomiarowych.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wykonywania zadań z zakresu: gospodarowania zasobem informacji na terenach miast, gospodarką przestrzenną terenów zurbanizowanych, geodezyjnego opracowania planów miejscowych, geodezyjną obsługą budowy mostów, tuneli i infrastruktury terenu.</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Wykrywanie i projektowanie urządzeń podziemnych technikami pośrednim.GESUT jako system gromadzenia danych o technicznym uzbrojeniu terenuProjektyProjekt 1: Opracowanie geodezyjne wycinka planu zagospodarowania przestrzennego fragmentu miasta: podział kompleksu budowlanego (opracowanie sytuacyjne), opracowanie wysokościowe placów i ulic w tym wykonanie bilansu robót ziemnych, projekt rozmieszczenia urządzeń podziemnych w przekroju ulicy. Wykonanie operatu mapy do celów prawnych.Projekt 2:  Geodezyjna inwentaryzacja budynku- Pomiary inwentaryzacyjne, powykonawcze- Inwentaryzacja lokali mieszkalnych i biurowych,- Sporządzanie dokumentacji szczegółowej obiektów budowlanych </w:t>
      </w:r>
    </w:p>
    <w:p>
      <w:pPr>
        <w:keepNext w:val="1"/>
        <w:spacing w:after="10"/>
      </w:pPr>
      <w:r>
        <w:rPr>
          <w:b/>
          <w:bCs/>
        </w:rPr>
        <w:t xml:space="preserve">Metody oceny: </w:t>
      </w:r>
    </w:p>
    <w:p>
      <w:pPr>
        <w:spacing w:before="20" w:after="190"/>
      </w:pPr>
      <w:r>
        <w:rPr/>
        <w:t xml:space="preserve">Ocena wiedzy i umiejetności w zakresie tematyki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Tom I, II, III– praca zbiorowa, PPWK Warszawa 19942. Geodezja Miejska – praca zbiorowa, PPWK Warszawa 19733. Ustawa o planowaniu i zagospodarowaniu terenu4. Ustawa Prawo Geodezyjne i Kartograficzne5. Ustawa Prawo Budowlane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2026-10-04T02:26:49+02:00</dcterms:created>
  <dcterms:modified xsi:type="dcterms:W3CDTF">2026-10-04T02:26:49+02:00</dcterms:modified>
</cp:coreProperties>
</file>

<file path=docProps/custom.xml><?xml version="1.0" encoding="utf-8"?>
<Properties xmlns="http://schemas.openxmlformats.org/officeDocument/2006/custom-properties" xmlns:vt="http://schemas.openxmlformats.org/officeDocument/2006/docPropsVTypes"/>
</file>