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w:t>
      </w:r>
    </w:p>
    <w:p>
      <w:pPr>
        <w:keepNext w:val="1"/>
        <w:spacing w:after="10"/>
      </w:pPr>
      <w:r>
        <w:rPr>
          <w:b/>
          <w:bCs/>
        </w:rPr>
        <w:t xml:space="preserve">Koordynator przedmiotu: </w:t>
      </w:r>
    </w:p>
    <w:p>
      <w:pPr>
        <w:spacing w:before="20" w:after="190"/>
      </w:pPr>
      <w:r>
        <w:rPr/>
        <w:t xml:space="preserve">dr Alina Muzioł-Węcławowicz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i fizyczno-geograficznej świata, podstawowych założeń programowych geografii na poziomie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i świata w aspekcie zróżnicowań przestrzennych. </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w:t>
      </w:r>
    </w:p>
    <w:p>
      <w:pPr>
        <w:keepNext w:val="1"/>
        <w:spacing w:after="10"/>
      </w:pPr>
      <w:r>
        <w:rPr>
          <w:b/>
          <w:bCs/>
        </w:rPr>
        <w:t xml:space="preserve">Metody oceny: </w:t>
      </w:r>
    </w:p>
    <w:p>
      <w:pPr>
        <w:spacing w:before="20" w:after="190"/>
      </w:pPr>
      <w:r>
        <w:rPr/>
        <w:t xml:space="preserve">Warunkiem zaliczenia przedmiotu jest uzyskanie pozytywnych ocen z dwóch kolokwiów pisemnych. Pierwsze kolokwium odbywa się w połowie cyklu wykładów, drugie – pod koniec; terminy kolokwiów ustala wykładowca. Ocenę łączną z przedmiotu ustala się licząc średnią arytmetyczną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Liszewski S. (red.), 2008, „Geografia urbanistyczna”, Wydawnictwo Uniwersytetu Łódzkiego, Łódź.
Domański R. 2004, „Geografia ekonomiczna Ujęcie dynamiczne”. PWN, Warszawa.
Wrona J., Rek J., 2006, „Podstawy geografii ekonomicznej”. PWE, Warszawa.
Węcławowicz G.,2002, „Przestrzeń i społeczeństwo współczesnej Polski. Studium z geografii społecznej”.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2026-02-09T21:25:26+01:00</dcterms:created>
  <dcterms:modified xsi:type="dcterms:W3CDTF">2026-02-09T21:25:26+01:00</dcterms:modified>
</cp:coreProperties>
</file>

<file path=docProps/custom.xml><?xml version="1.0" encoding="utf-8"?>
<Properties xmlns="http://schemas.openxmlformats.org/officeDocument/2006/custom-properties" xmlns:vt="http://schemas.openxmlformats.org/officeDocument/2006/docPropsVTypes"/>
</file>