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metod i sposobów ochrony przed powodzią, opracowywania instrukcji gospodarowania wodami dla obiektów hydrotechnicznych, uwarunkowania wdrażania Ramowej Dyrektywy Wodnej.</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w:t>
      </w:r>
    </w:p>
    <w:p>
      <w:pPr>
        <w:keepNext w:val="1"/>
        <w:spacing w:after="10"/>
      </w:pPr>
      <w:r>
        <w:rPr>
          <w:b/>
          <w:bCs/>
        </w:rPr>
        <w:t xml:space="preserve">Metody oceny: </w:t>
      </w:r>
    </w:p>
    <w:p>
      <w:pPr>
        <w:spacing w:before="20" w:after="190"/>
      </w:pPr>
      <w:r>
        <w:rPr/>
        <w:t xml:space="preserve">Z = 0.5*W + 0.5*P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2026-10-04T04:13:25+02:00</dcterms:created>
  <dcterms:modified xsi:type="dcterms:W3CDTF">2026-10-04T04:13:25+02:00</dcterms:modified>
</cp:coreProperties>
</file>

<file path=docProps/custom.xml><?xml version="1.0" encoding="utf-8"?>
<Properties xmlns="http://schemas.openxmlformats.org/officeDocument/2006/custom-properties" xmlns:vt="http://schemas.openxmlformats.org/officeDocument/2006/docPropsVTypes"/>
</file>