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Nanomaterials Chemistry </w:t>
      </w:r>
    </w:p>
    <w:p>
      <w:pPr>
        <w:keepNext w:val="1"/>
        <w:spacing w:after="10"/>
      </w:pPr>
      <w:r>
        <w:rPr>
          <w:b/>
          <w:bCs/>
        </w:rPr>
        <w:t xml:space="preserve">Koordynator przedmiotu: </w:t>
      </w:r>
    </w:p>
    <w:p>
      <w:pPr>
        <w:spacing w:before="20" w:after="190"/>
      </w:pPr>
      <w:r>
        <w:rPr/>
        <w:t xml:space="preserve">prof. dr hab. inż. Adam Proń  prof. dr hab. inż. Małgorzata Zagórska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Inorganic, Organic and Physical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w:t>
      </w:r>
    </w:p>
    <w:p>
      <w:pPr>
        <w:keepNext w:val="1"/>
        <w:spacing w:after="10"/>
      </w:pPr>
      <w:r>
        <w:rPr>
          <w:b/>
          <w:bCs/>
        </w:rPr>
        <w:t xml:space="preserve">Treści kształcenia: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 Spectroscopic, diffraction and microscopic methods of nanomaterials characterization will also be reviewed. The course covers the following contents:
-	i) Preparation methods in chemistry of nanomaterials;
-	ii) Methods of controlling nanoparticles size, shape and polydispersity and their surface functionalization;
-	iii) Carbon nanomaterials: fullerene-, nanotube- and graphene-based nanomaterials;
-	iv) Inorganic nanomaterials: silicon, binary and ternary semiconductors);
-	v) Nanomaterials containing metal nanoparticles; vi) organic semiconducting nanomaterials;
-	vii) Supramolecular organization in nanomaterials - investigation methods;
-	viii) preparation of organic/inogranic hybrid materials for electronics, opto-electronics and catalysis.
</w:t>
      </w:r>
    </w:p>
    <w:p>
      <w:pPr>
        <w:keepNext w:val="1"/>
        <w:spacing w:after="10"/>
      </w:pPr>
      <w:r>
        <w:rPr>
          <w:b/>
          <w:bCs/>
        </w:rPr>
        <w:t xml:space="preserve">Metody oceny: </w:t>
      </w:r>
    </w:p>
    <w:p>
      <w:pPr>
        <w:spacing w:before="20" w:after="190"/>
      </w:pPr>
      <w:r>
        <w:rPr/>
        <w:t xml:space="preserve">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2026-10-07T17:23:34+02:00</dcterms:created>
  <dcterms:modified xsi:type="dcterms:W3CDTF">2026-10-07T17:23:34+02:00</dcterms:modified>
</cp:coreProperties>
</file>

<file path=docProps/custom.xml><?xml version="1.0" encoding="utf-8"?>
<Properties xmlns="http://schemas.openxmlformats.org/officeDocument/2006/custom-properties" xmlns:vt="http://schemas.openxmlformats.org/officeDocument/2006/docPropsVTypes"/>
</file>