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 </w:t>
      </w:r>
    </w:p>
    <w:p>
      <w:pPr>
        <w:keepNext w:val="1"/>
        <w:spacing w:after="10"/>
      </w:pPr>
      <w:r>
        <w:rPr>
          <w:b/>
          <w:bCs/>
        </w:rPr>
        <w:t xml:space="preserve">Koordynator przedmiotu: </w:t>
      </w:r>
    </w:p>
    <w:p>
      <w:pPr>
        <w:spacing w:before="20" w:after="190"/>
      </w:pPr>
      <w:r>
        <w:rPr/>
        <w:t xml:space="preserve">prof. dr hab. inż. Elżbieta Malinowska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
Laboratory will introduce students to construction and utilization of sensors and biosensors with different transducers: optical and electrochemical.
</w:t>
      </w:r>
    </w:p>
    <w:p>
      <w:pPr>
        <w:keepNext w:val="1"/>
        <w:spacing w:after="10"/>
      </w:pPr>
      <w:r>
        <w:rPr>
          <w:b/>
          <w:bCs/>
        </w:rPr>
        <w:t xml:space="preserve">Metody oceny: </w:t>
      </w:r>
    </w:p>
    <w:p>
      <w:pPr>
        <w:spacing w:before="20" w:after="190"/>
      </w:pPr>
      <w:r>
        <w:rPr/>
        <w:t xml:space="preserve">Written examination or presentation and reports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1. Z. Brzózka, W. Wróblewski, Sensory chemiczne, Oficyna Wydawnicza Politechniki Warszawskiej, 1998.
2.	U.E. Spichiger-Keller, Chemical Sensors and Biosensors for Medical and Biological Applications, Wiley-VCH, 1998.
3.	B. Eggins, Biosensors, John Wiley &amp; Sons,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2026-10-03T22:03:22+02:00</dcterms:created>
  <dcterms:modified xsi:type="dcterms:W3CDTF">2026-10-03T22:03:22+02:00</dcterms:modified>
</cp:coreProperties>
</file>

<file path=docProps/custom.xml><?xml version="1.0" encoding="utf-8"?>
<Properties xmlns="http://schemas.openxmlformats.org/officeDocument/2006/custom-properties" xmlns:vt="http://schemas.openxmlformats.org/officeDocument/2006/docPropsVTypes"/>
</file>