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Bioethics</w:t>
      </w:r>
    </w:p>
    <w:p>
      <w:pPr>
        <w:keepNext w:val="1"/>
        <w:spacing w:after="10"/>
      </w:pPr>
      <w:r>
        <w:rPr>
          <w:b/>
          <w:bCs/>
        </w:rPr>
        <w:t xml:space="preserve">Koordynator przedmiotu: </w:t>
      </w:r>
    </w:p>
    <w:p>
      <w:pPr>
        <w:spacing w:before="20" w:after="190"/>
      </w:pPr>
      <w:r>
        <w:rPr/>
        <w:t xml:space="preserve">dr Beata Witkowska-Maksimczuk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A participant who has successfully completed this course should: 
1) Be able to understand the complex normative systems of bioethics, health law and international human rights as they impact on the development of health policy, locally, nationally and internationally. 
2) Be able to apply the complex normative systems of bioethics, health law and international human rights as they apply to a variety of contemporary issues in this area locally, nationally and internationally 
3) Be able to understand the impact on the complex normative systems of bioethics, health law and international human rights of international trade agreements and the lobbying principles of corporate globalisation 
4) Be able to write and speak effectively at an academic or high policy level in the areas of regulation of cost-effectiveness evaluation of medicines and access to health services 
5) Be able to effectively resolve disputes arising in this area in private or public legal practise.
</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2026-10-03T23:32:42+02:00</dcterms:created>
  <dcterms:modified xsi:type="dcterms:W3CDTF">2026-10-03T23:32:42+02:00</dcterms:modified>
</cp:coreProperties>
</file>

<file path=docProps/custom.xml><?xml version="1.0" encoding="utf-8"?>
<Properties xmlns="http://schemas.openxmlformats.org/officeDocument/2006/custom-properties" xmlns:vt="http://schemas.openxmlformats.org/officeDocument/2006/docPropsVTypes"/>
</file>