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 2</w:t>
      </w:r>
    </w:p>
    <w:p>
      <w:pPr>
        <w:keepNext w:val="1"/>
        <w:spacing w:after="10"/>
      </w:pPr>
      <w:r>
        <w:rPr>
          <w:b/>
          <w:bCs/>
        </w:rPr>
        <w:t xml:space="preserve">Koordynator przedmiotu: </w:t>
      </w:r>
    </w:p>
    <w:p>
      <w:pPr>
        <w:spacing w:before="20" w:after="190"/>
      </w:pPr>
      <w:r>
        <w:rPr/>
        <w:t xml:space="preserve">dr Marek Kociński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Rachunek prawdopodobieństwa, Statystyka matematyczna, Optymalizacja i programowanie matematyczne, Analiza portfelowa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Wartość Zagrożona (Value at Risk)
2.	Model Wyceny Aktywów Kapitałowych (Capital Asset Pricing Model)
      2.1.  Portfel rynkowy
      2.2.  Stan równowagi
      2.3.  Współczynnik beta
      2.4.  Linia rynku kapitałowego (Capital Market Line)
      2.5.  Linia rynku papierów wartościowych (Security Market Line)
3.	Modele czynnikowe
      3.1.  Czynniki i struktura czynnikowa
      3.2.  Współczynniki alfa i beta dla akcji
      3.3.  Składnik losowy
      3.4.  Hiperpłaszczyzna charakterystyczna (Security Characteristic Hyperplane)
      3.5.  Struktura Sharpe’a
4.	Teoria wyceny arbitrażowej (Arbitrage Pricing Theory)
      4.1.  Arbitraż i portfel arbitrażowy
      4.2.  Wzór na dokładną wycenę przy braku składnika losowego
      4.3.  Asymptotyczny arbitraż
      4.4.  Wzór na asymptotyczną wycenę dla rynku z przeliczalną ilością akcji
5.	Efektywność rynku
      5.1.  Teoria błądzenia losowego
      5.2.  Słaba, średnia i silna efektywność rynku
6.	Obligacje
      6.1.  Rentowność i czas trwania obligacji
      6.2.  Uodpornianie portfela obligacji na zmiany stopy procentowej
      6.4.  Wypukłość obligacji
</w:t>
      </w:r>
    </w:p>
    <w:p>
      <w:pPr>
        <w:keepNext w:val="1"/>
        <w:spacing w:after="10"/>
      </w:pPr>
      <w:r>
        <w:rPr>
          <w:b/>
          <w:bCs/>
        </w:rPr>
        <w:t xml:space="preserve">Metody oceny: </w:t>
      </w:r>
    </w:p>
    <w:p>
      <w:pPr>
        <w:spacing w:before="20" w:after="190"/>
      </w:pPr>
      <w:r>
        <w:rPr/>
        <w:t xml:space="preserve">•	 Uczestnictwo w ćwiczeniach jest obowiązkowe.
•	Egzamin pisemny w formie testu do wykonania przy komputerze
•	Końcowa ocena zależy od sumy uzyskanych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J. Elton, M. J. Gruber, Nowoczesna teoria portfelowa i analiza papierów wartościowych, WIG-Press, 1998
[2]  M. Jackson, M. Staunton, Zaawansowane modele finansowe z wykorzystaniem Excela i VBA, Helion, 2004
[3]  K. Jajuga, T. Jajuga, Inwestycje , instrumenty finansowe, ryzyko finansowe, inżynieria finansowa, Wydawnictwo Naukowe PWN, 2001
[4]  P. Jaworski; J. MicałModelowanie matematyczne w finansach i ubezpieczeniach, Poltext, 2005
[5]  K. Krzyżewski, Analiza portfelowa – materiały z letniej szkoły Matematyki Finansowej w Będlewie,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2026-07-26T17:41:16+02:00</dcterms:created>
  <dcterms:modified xsi:type="dcterms:W3CDTF">2026-07-26T17:41:16+02:00</dcterms:modified>
</cp:coreProperties>
</file>

<file path=docProps/custom.xml><?xml version="1.0" encoding="utf-8"?>
<Properties xmlns="http://schemas.openxmlformats.org/officeDocument/2006/custom-properties" xmlns:vt="http://schemas.openxmlformats.org/officeDocument/2006/docPropsVTypes"/>
</file>