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w:t>
      </w:r>
    </w:p>
    <w:p>
      <w:pPr>
        <w:keepNext w:val="1"/>
        <w:spacing w:after="10"/>
      </w:pPr>
      <w:r>
        <w:rPr>
          <w:b/>
          <w:bCs/>
        </w:rPr>
        <w:t xml:space="preserve">Koordynator przedmiotu: </w:t>
      </w:r>
    </w:p>
    <w:p>
      <w:pPr>
        <w:spacing w:before="20" w:after="190"/>
      </w:pPr>
      <w:r>
        <w:rPr/>
        <w:t xml:space="preserve">prof. dr hab.inż. / Sławczo Denczew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ZIWW05/1</w:t>
      </w:r>
    </w:p>
    <w:p>
      <w:pPr>
        <w:keepNext w:val="1"/>
        <w:spacing w:after="10"/>
      </w:pPr>
      <w:r>
        <w:rPr>
          <w:b/>
          <w:bCs/>
        </w:rPr>
        <w:t xml:space="preserve">Semestr nominalny: </w:t>
      </w:r>
    </w:p>
    <w:p>
      <w:pPr>
        <w:spacing w:before="20" w:after="190"/>
      </w:pPr>
      <w:r>
        <w:rPr/>
        <w:t xml:space="preserve">8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Wodociągi i kanalizacje, Eksploatacja wodociągów i kanalizacji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 - Ochrona środowiska a infrastruktura i przedsięwzięcia komunalne. Charakterystyka podstawowych przepisów prawnych z punktu widzenia prowadzenia przedsięwzięć w inżynierii środowiska. Zadania i kompetencje organów samo-rządu terytorialnego w ochronie środowiska. Czynności formalno-prawne przygotowania realizacji przedsięwzięć: decyzja o warunkach zabudowy i zagospodarowania terenu, postępowanie w sprawie oceny oddziaływania przedsięwzięcia na środowiska. Czynności formalnoprawne procesu budowlanego: decyzja o pozwoleniu na budowę, pozwolenie wodno-prawne, pozwolenie zintegrowane. Prowadzenie przedsięwzięć w warunkach gospodarki rynkowej: elementy i etapy procesu inwestycyjnego, analiza techniczno-ekonomiczna przedsięwzięcia, wstępne opracowanie projektowe, przetargi. Ekonomiczna efektywność przedsięwzięć komunalnych w ochronie środowiska: struktura nakładów inwestycyjnych i całkowitych kosztów eksploatacyjnych, metody oceny efektywności projektów inwestycyjnych.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polega na zaliczeniu pisemnych kolokwiów  (w terminie zerowym oraz w dwóch terminach w sesjach egzaminacyjnych, a następnie w jednym terminie w sesji poprawkowej). W przypadku niezaliczenia w terminie zerowym nie ma możliwości popoprawiania w sesji egzaminacyjnej, natomiast przystępuje się do zaliczenia w sesji poprawkowej. Ocena  z zaliczenia w terminie zerowym jest oceną ostateczną. Zaliczenie obejmuje 3 pytania z wykładów, które są punktowane, a punktacja jest podawana do każdego pytania (minimalna liczba punktów niezbędna do zaliczenia wynosi 9 pkt – ocena dostateczny (3.0), 10–11pkt – ocena dość dobry (3.5), 12–13 pkt – ocena dobry (4.0), 14–15 pkt – ocena ponad dobry (4.5), 16-18 pkt – ocena bardzo dobry (5.0). Obecność na wykładach nie jest obowiązkowa, lecz jest brana pod uwagę przy ustaleniu ostatecznej oceny z kolokwium zaliczeniowego. Terminy kolokwiów  ustalane są ze studentami na pierwszych zajęciach.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 J., Analiza finansowa i ocena efektywności projektów inwestycyjnych przedsiębiorstw, Oficyna Wydawnicza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2026-10-06T09:38:50+02:00</dcterms:created>
  <dcterms:modified xsi:type="dcterms:W3CDTF">2026-10-06T09:38:50+02:00</dcterms:modified>
</cp:coreProperties>
</file>

<file path=docProps/custom.xml><?xml version="1.0" encoding="utf-8"?>
<Properties xmlns="http://schemas.openxmlformats.org/officeDocument/2006/custom-properties" xmlns:vt="http://schemas.openxmlformats.org/officeDocument/2006/docPropsVTypes"/>
</file>