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Hydraulika, Wodociągi i Kanalizacje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(streszczenie):
Poznanie zasad funkcjonowania i podstaw projektowania sieci wodociągowych i kanalizacyjnych wraz z uzbrojeniem i obiektami sieciowymi.
</w:t>
      </w:r>
    </w:p>
    <w:p>
      <w:pPr>
        <w:keepNext w:val="1"/>
        <w:spacing w:after="10"/>
      </w:pPr>
      <w:r>
        <w:rPr>
          <w:b/>
          <w:bCs/>
        </w:rPr>
        <w:t xml:space="preserve">Treści kształcenia: </w:t>
      </w:r>
    </w:p>
    <w:p>
      <w:pPr>
        <w:spacing w:before="20" w:after="190"/>
      </w:pPr>
      <w:r>
        <w:rPr/>
        <w:t xml:space="preserve">Program wykładu
Bloki tematyczne (treści):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Kształtowanie przestrzenne sieci bytowo-gospodarczej. Połączenia i rozgałęzienia kanałów. Podział zlewni.
Rozwiązania wysokościowe z obliczeniami hydraulicznymi sieci kanalizacji bytowo-gospodarczej.
Charakterystyka opadów. Obliczanie natężeń opadów i przepływów w sieci. Kształtowanie przestrzenne sieci.
Rozwiązanie wysokościowe z obliczeniami hydraulicznym kanalizacji deszczowej.
Program ćwiczeń projektowych
Bloki tematyczne (treści):
Projekt sieci wodociągowej pierścieniowej – P1
Projekt ujęcia wód podziemnych – P2
Skrócony projekt kanalizacji bytowo-gospodarczej dla jednostki osadniczej – P3
Skrócony projekt kanalizacji deszczowej dla jednostki osadniczej –P4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+ 0,25 x P3 + 0,25 x P4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2026-10-04T20:49:12+02:00</dcterms:created>
  <dcterms:modified xsi:type="dcterms:W3CDTF">2026-10-04T20:49:12+02:00</dcterms:modified>
</cp:coreProperties>
</file>

<file path=docProps/custom.xml><?xml version="1.0" encoding="utf-8"?>
<Properties xmlns="http://schemas.openxmlformats.org/officeDocument/2006/custom-properties" xmlns:vt="http://schemas.openxmlformats.org/officeDocument/2006/docPropsVTypes"/>
</file>