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IIBK13</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podstawy obliczania konstrukcji żelbetowych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nieliniowej zachowania się konstrukcji. Zrozumienie istoty zjawiska redystrybucji sił wewnętrznych pod obciążeniem długotrwałym. 
Celem nauczania jest nabycie przez studentów umiejętności projektowania elementów i konstrukcji żelbetowych uwzględnieniem redystrybucji sił wewnętrznych, zrozumienie istoty powłokowych i sprężonych konstrukcji żelbetowych i ich nieliniowej charakterystyki.</w:t>
      </w:r>
    </w:p>
    <w:p>
      <w:pPr>
        <w:keepNext w:val="1"/>
        <w:spacing w:after="10"/>
      </w:pPr>
      <w:r>
        <w:rPr>
          <w:b/>
          <w:bCs/>
        </w:rPr>
        <w:t xml:space="preserve">Treści kształcenia: </w:t>
      </w:r>
    </w:p>
    <w:p>
      <w:pPr>
        <w:spacing w:before="20" w:after="190"/>
      </w:pPr>
      <w:r>
        <w:rPr/>
        <w:t xml:space="preserve">W - Idealizacje konstrukcji żelbetowych z uwzględnieniem ich nieliniowego zachowania. Redystrybucja sił wewnętrznych w układach belkowych i powłokowych. Specyfika obliczania i konstruowania tarcz, tarczownic i belek ścian. Obliczanie i konstruowanie prostopadłościennych zbiorników żelbetowych na wodę i ścieki. Konstrukcje powłokowe. Obliczanie i konstruowanie silosów. Obliczanie i konstruowanie chłodni kominowych. Projektowanie konstrukcji sprężonych. Hale przemysłowe o konstrukcji szkieletowej w układzie przestrzennym.
Ć - Rozwiązywanie przykładowych zadań projektowych umożliwiających nabycie umiejętności identyfikowania problemów technicznych wymagających zastosowania nietypowych metod analizy
P- Przykładowe zadania projektowe: zbiornik prostopadłościenny wielokomorowy na wodę, projekt wzmocnienia konstrukcji hali przez zastosowanie konstrukcji zespolonych oraz tarcz, zbiornik walcowy na ścieki z zastosowaniem sprężenia, projekt dźwigara sprężonego</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i 4, Arkady, 1989.
3. Grabiec K., Konstrukcje cienkościenne, PWN, 2003.
4. Ajdukiewicz A., Mames J., Konstrukcje z betonu sprężonego, Polski Cement, Kraków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2026-10-04T04:22:29+02:00</dcterms:created>
  <dcterms:modified xsi:type="dcterms:W3CDTF">2026-10-04T04:22:29+02:00</dcterms:modified>
</cp:coreProperties>
</file>

<file path=docProps/custom.xml><?xml version="1.0" encoding="utf-8"?>
<Properties xmlns="http://schemas.openxmlformats.org/officeDocument/2006/custom-properties" xmlns:vt="http://schemas.openxmlformats.org/officeDocument/2006/docPropsVTypes"/>
</file>